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7946"/>
      </w:tblGrid>
      <w:tr w:rsidR="00050A0F" w:rsidTr="001047DA">
        <w:trPr>
          <w:trHeight w:val="1928"/>
        </w:trPr>
        <w:tc>
          <w:tcPr>
            <w:tcW w:w="2660" w:type="dxa"/>
          </w:tcPr>
          <w:p w:rsidR="00050A0F" w:rsidRDefault="00050A0F" w:rsidP="00050A0F">
            <w:pPr>
              <w:jc w:val="center"/>
              <w:rPr>
                <w:rFonts w:ascii="Arial" w:hAnsi="Arial" w:cs="Arial"/>
                <w:b/>
                <w:caps/>
                <w:sz w:val="40"/>
                <w:szCs w:val="40"/>
              </w:rPr>
            </w:pPr>
            <w:r>
              <w:rPr>
                <w:noProof/>
                <w:lang w:eastAsia="fr-FR"/>
              </w:rPr>
              <w:drawing>
                <wp:inline distT="0" distB="0" distL="0" distR="0" wp14:anchorId="47DB9D73" wp14:editId="4F341DCB">
                  <wp:extent cx="1322582" cy="9965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149" cy="1005309"/>
                          </a:xfrm>
                          <a:prstGeom prst="rect">
                            <a:avLst/>
                          </a:prstGeom>
                          <a:noFill/>
                          <a:ln>
                            <a:noFill/>
                          </a:ln>
                        </pic:spPr>
                      </pic:pic>
                    </a:graphicData>
                  </a:graphic>
                </wp:inline>
              </w:drawing>
            </w:r>
          </w:p>
        </w:tc>
        <w:tc>
          <w:tcPr>
            <w:tcW w:w="7946" w:type="dxa"/>
            <w:vAlign w:val="center"/>
          </w:tcPr>
          <w:p w:rsidR="00050A0F" w:rsidRDefault="00050A0F" w:rsidP="001047DA">
            <w:pPr>
              <w:jc w:val="center"/>
              <w:rPr>
                <w:rFonts w:ascii="Arial" w:hAnsi="Arial" w:cs="Arial"/>
                <w:b/>
                <w:caps/>
                <w:sz w:val="40"/>
                <w:szCs w:val="40"/>
              </w:rPr>
            </w:pPr>
            <w:r w:rsidRPr="001646FB">
              <w:rPr>
                <w:rFonts w:ascii="Arial" w:hAnsi="Arial" w:cs="Arial"/>
                <w:b/>
                <w:caps/>
                <w:sz w:val="40"/>
                <w:szCs w:val="40"/>
              </w:rPr>
              <w:t>Ecarts &amp; remarques relevés pendant les inspections des dépôts de Produits sanguins – Banque de données</w:t>
            </w:r>
            <w:r>
              <w:rPr>
                <w:rFonts w:ascii="Arial" w:hAnsi="Arial" w:cs="Arial"/>
                <w:b/>
                <w:caps/>
                <w:sz w:val="40"/>
                <w:szCs w:val="40"/>
              </w:rPr>
              <w:t>.</w:t>
            </w:r>
          </w:p>
        </w:tc>
      </w:tr>
    </w:tbl>
    <w:p w:rsidR="0019771D" w:rsidRPr="0019771D" w:rsidRDefault="0019771D" w:rsidP="00050A0F">
      <w:pPr>
        <w:jc w:val="center"/>
        <w:rPr>
          <w:rFonts w:ascii="Arial" w:hAnsi="Arial" w:cs="Arial"/>
          <w:b/>
          <w:caps/>
          <w:sz w:val="20"/>
          <w:szCs w:val="20"/>
        </w:rPr>
      </w:pPr>
    </w:p>
    <w:p w:rsidR="00013D2C" w:rsidRPr="00281095" w:rsidRDefault="00013D2C">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Période :</w:t>
      </w:r>
      <w:r w:rsidR="00805966"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8A2FD3" w:rsidRPr="00A46EC0" w:rsidRDefault="000A63C3">
      <w:pPr>
        <w:rPr>
          <w:rFonts w:ascii="Arial" w:hAnsi="Arial" w:cs="Arial"/>
          <w:sz w:val="24"/>
          <w:szCs w:val="24"/>
        </w:rPr>
      </w:pPr>
      <w:r w:rsidRPr="00A46EC0">
        <w:rPr>
          <w:rFonts w:ascii="Arial" w:hAnsi="Arial" w:cs="Arial"/>
          <w:sz w:val="24"/>
          <w:szCs w:val="24"/>
        </w:rPr>
        <w:t xml:space="preserve">Décembre </w:t>
      </w:r>
      <w:r w:rsidR="00E44E93">
        <w:rPr>
          <w:rFonts w:ascii="Arial" w:hAnsi="Arial" w:cs="Arial"/>
          <w:sz w:val="24"/>
          <w:szCs w:val="24"/>
        </w:rPr>
        <w:t xml:space="preserve">2017 – Octobre </w:t>
      </w:r>
      <w:r w:rsidR="00805966" w:rsidRPr="00A46EC0">
        <w:rPr>
          <w:rFonts w:ascii="Arial" w:hAnsi="Arial" w:cs="Arial"/>
          <w:sz w:val="24"/>
          <w:szCs w:val="24"/>
        </w:rPr>
        <w:t>2019</w:t>
      </w:r>
    </w:p>
    <w:p w:rsidR="008A2FD3" w:rsidRDefault="008A2FD3">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Rédacteur :</w:t>
      </w:r>
      <w:r w:rsidR="00805966"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8A2FD3" w:rsidRPr="00A46EC0" w:rsidRDefault="00805966">
      <w:pPr>
        <w:rPr>
          <w:rFonts w:ascii="Arial" w:hAnsi="Arial" w:cs="Arial"/>
          <w:b/>
          <w:sz w:val="24"/>
          <w:szCs w:val="24"/>
        </w:rPr>
      </w:pPr>
      <w:r w:rsidRPr="00A46EC0">
        <w:rPr>
          <w:rFonts w:ascii="Arial" w:hAnsi="Arial" w:cs="Arial"/>
          <w:sz w:val="24"/>
          <w:szCs w:val="24"/>
        </w:rPr>
        <w:t>Dr O Lemaire</w:t>
      </w:r>
    </w:p>
    <w:p w:rsidR="008A2FD3" w:rsidRDefault="008A2FD3">
      <w:pPr>
        <w:rPr>
          <w:rFonts w:ascii="Arial" w:hAnsi="Arial" w:cs="Arial"/>
          <w:sz w:val="16"/>
          <w:szCs w:val="16"/>
        </w:rPr>
      </w:pPr>
    </w:p>
    <w:p w:rsidR="00013D2C" w:rsidRPr="001646FB" w:rsidRDefault="008F4C4F" w:rsidP="00EE33E9">
      <w:pPr>
        <w:shd w:val="clear" w:color="auto" w:fill="D9D9D9" w:themeFill="background1" w:themeFillShade="D9"/>
        <w:rPr>
          <w:rFonts w:ascii="Arial" w:hAnsi="Arial" w:cs="Arial"/>
          <w:b/>
          <w:caps/>
          <w:sz w:val="32"/>
          <w:szCs w:val="32"/>
        </w:rPr>
      </w:pPr>
      <w:r>
        <w:rPr>
          <w:rFonts w:ascii="Arial" w:hAnsi="Arial" w:cs="Arial"/>
          <w:b/>
          <w:caps/>
          <w:sz w:val="32"/>
          <w:szCs w:val="32"/>
          <w:shd w:val="clear" w:color="auto" w:fill="D9D9D9" w:themeFill="background1" w:themeFillShade="D9"/>
        </w:rPr>
        <w:t xml:space="preserve">Les Dépôts </w:t>
      </w:r>
      <w:proofErr w:type="gramStart"/>
      <w:r>
        <w:rPr>
          <w:rFonts w:ascii="Arial" w:hAnsi="Arial" w:cs="Arial"/>
          <w:b/>
          <w:caps/>
          <w:sz w:val="32"/>
          <w:szCs w:val="32"/>
          <w:shd w:val="clear" w:color="auto" w:fill="D9D9D9" w:themeFill="background1" w:themeFillShade="D9"/>
        </w:rPr>
        <w:t>CONCERNEs</w:t>
      </w:r>
      <w:proofErr w:type="gramEnd"/>
      <w:r w:rsidRPr="001646FB">
        <w:rPr>
          <w:rFonts w:ascii="Arial" w:hAnsi="Arial" w:cs="Arial"/>
          <w:b/>
          <w:caps/>
          <w:sz w:val="32"/>
          <w:szCs w:val="32"/>
          <w:shd w:val="clear" w:color="auto" w:fill="D9D9D9" w:themeFill="background1" w:themeFillShade="D9"/>
        </w:rPr>
        <w:t> </w:t>
      </w:r>
      <w:r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281095" w:rsidRPr="00A46EC0" w:rsidRDefault="006E529A">
      <w:pPr>
        <w:rPr>
          <w:rFonts w:ascii="Arial" w:hAnsi="Arial" w:cs="Arial"/>
          <w:sz w:val="24"/>
          <w:szCs w:val="24"/>
        </w:rPr>
      </w:pPr>
      <w:r w:rsidRPr="00A46EC0">
        <w:rPr>
          <w:rFonts w:ascii="Arial" w:hAnsi="Arial" w:cs="Arial"/>
          <w:sz w:val="24"/>
          <w:szCs w:val="24"/>
        </w:rPr>
        <w:t>Départements</w:t>
      </w:r>
      <w:r w:rsidR="00050A0F" w:rsidRPr="00A46EC0">
        <w:rPr>
          <w:rFonts w:ascii="Arial" w:hAnsi="Arial" w:cs="Arial"/>
          <w:sz w:val="24"/>
          <w:szCs w:val="24"/>
        </w:rPr>
        <w:t> :</w:t>
      </w:r>
      <w:r w:rsidRPr="00A46EC0">
        <w:rPr>
          <w:rFonts w:ascii="Arial" w:hAnsi="Arial" w:cs="Arial"/>
          <w:sz w:val="24"/>
          <w:szCs w:val="24"/>
        </w:rPr>
        <w:t xml:space="preserve"> 26 38 73 74</w:t>
      </w:r>
    </w:p>
    <w:p w:rsidR="000A63C3" w:rsidRPr="00A46EC0" w:rsidRDefault="000A63C3">
      <w:pPr>
        <w:rPr>
          <w:rFonts w:ascii="Arial" w:hAnsi="Arial" w:cs="Arial"/>
          <w:sz w:val="24"/>
          <w:szCs w:val="24"/>
        </w:rPr>
      </w:pPr>
      <w:r w:rsidRPr="00A46EC0">
        <w:rPr>
          <w:rFonts w:ascii="Arial" w:hAnsi="Arial" w:cs="Arial"/>
          <w:sz w:val="24"/>
          <w:szCs w:val="24"/>
        </w:rPr>
        <w:t>Dépôts ins</w:t>
      </w:r>
      <w:r w:rsidR="001646FB" w:rsidRPr="00A46EC0">
        <w:rPr>
          <w:rFonts w:ascii="Arial" w:hAnsi="Arial" w:cs="Arial"/>
          <w:sz w:val="24"/>
          <w:szCs w:val="24"/>
        </w:rPr>
        <w:t xml:space="preserve">pectés pendant </w:t>
      </w:r>
      <w:r w:rsidR="00E44E93">
        <w:rPr>
          <w:rFonts w:ascii="Arial" w:hAnsi="Arial" w:cs="Arial"/>
          <w:sz w:val="24"/>
          <w:szCs w:val="24"/>
        </w:rPr>
        <w:t>cette période : 10</w:t>
      </w:r>
    </w:p>
    <w:p w:rsidR="00281095" w:rsidRPr="00013D2C" w:rsidRDefault="00281095">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Rappels :</w:t>
      </w:r>
      <w:r w:rsidR="00805966" w:rsidRPr="001646FB">
        <w:rPr>
          <w:rFonts w:ascii="Arial" w:hAnsi="Arial" w:cs="Arial"/>
          <w:b/>
          <w:caps/>
          <w:sz w:val="32"/>
          <w:szCs w:val="32"/>
        </w:rPr>
        <w:t xml:space="preserve"> </w:t>
      </w:r>
    </w:p>
    <w:p w:rsidR="00EE33E9" w:rsidRPr="001646FB" w:rsidRDefault="00EE33E9" w:rsidP="00013D2C">
      <w:pPr>
        <w:jc w:val="both"/>
        <w:rPr>
          <w:rFonts w:ascii="Arial" w:hAnsi="Arial" w:cs="Arial"/>
          <w:sz w:val="16"/>
          <w:szCs w:val="16"/>
        </w:rPr>
      </w:pPr>
    </w:p>
    <w:p w:rsidR="003E48F7" w:rsidRPr="001646FB" w:rsidRDefault="003E48F7" w:rsidP="00013D2C">
      <w:pPr>
        <w:jc w:val="both"/>
        <w:rPr>
          <w:rFonts w:ascii="Arial" w:hAnsi="Arial" w:cs="Arial"/>
          <w:sz w:val="24"/>
          <w:szCs w:val="24"/>
        </w:rPr>
      </w:pPr>
      <w:r w:rsidRPr="001646FB">
        <w:rPr>
          <w:rFonts w:ascii="Arial" w:hAnsi="Arial" w:cs="Arial"/>
          <w:sz w:val="24"/>
          <w:szCs w:val="24"/>
        </w:rPr>
        <w:t xml:space="preserve">La procédure d’autorisation des dépôts de produits sanguins prévue par les articles D1221-20 et suivants du code de la santé publique prévoit </w:t>
      </w:r>
      <w:r w:rsidR="00DC62AC" w:rsidRPr="001646FB">
        <w:rPr>
          <w:rFonts w:ascii="Arial" w:hAnsi="Arial" w:cs="Arial"/>
          <w:sz w:val="24"/>
          <w:szCs w:val="24"/>
        </w:rPr>
        <w:t>expressément</w:t>
      </w:r>
      <w:r w:rsidRPr="001646FB">
        <w:rPr>
          <w:rFonts w:ascii="Arial" w:hAnsi="Arial" w:cs="Arial"/>
          <w:sz w:val="24"/>
          <w:szCs w:val="24"/>
        </w:rPr>
        <w:t xml:space="preserve"> une inspection </w:t>
      </w:r>
      <w:r w:rsidR="00DC62AC" w:rsidRPr="001646FB">
        <w:rPr>
          <w:rFonts w:ascii="Arial" w:hAnsi="Arial" w:cs="Arial"/>
          <w:sz w:val="24"/>
          <w:szCs w:val="24"/>
        </w:rPr>
        <w:t>pendant</w:t>
      </w:r>
      <w:r w:rsidRPr="001646FB">
        <w:rPr>
          <w:rFonts w:ascii="Arial" w:hAnsi="Arial" w:cs="Arial"/>
          <w:sz w:val="24"/>
          <w:szCs w:val="24"/>
        </w:rPr>
        <w:t xml:space="preserve"> la </w:t>
      </w:r>
      <w:r w:rsidR="00DC62AC" w:rsidRPr="001646FB">
        <w:rPr>
          <w:rFonts w:ascii="Arial" w:hAnsi="Arial" w:cs="Arial"/>
          <w:sz w:val="24"/>
          <w:szCs w:val="24"/>
        </w:rPr>
        <w:t>durée</w:t>
      </w:r>
      <w:r w:rsidRPr="001646FB">
        <w:rPr>
          <w:rFonts w:ascii="Arial" w:hAnsi="Arial" w:cs="Arial"/>
          <w:sz w:val="24"/>
          <w:szCs w:val="24"/>
        </w:rPr>
        <w:t xml:space="preserve"> de </w:t>
      </w:r>
      <w:proofErr w:type="gramStart"/>
      <w:r w:rsidRPr="001646FB">
        <w:rPr>
          <w:rFonts w:ascii="Arial" w:hAnsi="Arial" w:cs="Arial"/>
          <w:sz w:val="24"/>
          <w:szCs w:val="24"/>
        </w:rPr>
        <w:t>validité</w:t>
      </w:r>
      <w:proofErr w:type="gramEnd"/>
      <w:r w:rsidRPr="001646FB">
        <w:rPr>
          <w:rFonts w:ascii="Arial" w:hAnsi="Arial" w:cs="Arial"/>
          <w:sz w:val="24"/>
          <w:szCs w:val="24"/>
        </w:rPr>
        <w:t xml:space="preserve"> de l’autorisation.</w:t>
      </w:r>
    </w:p>
    <w:p w:rsidR="00A46EC0" w:rsidRPr="00A46EC0" w:rsidRDefault="00A46EC0" w:rsidP="00013D2C">
      <w:pPr>
        <w:jc w:val="both"/>
        <w:rPr>
          <w:rFonts w:ascii="Arial" w:hAnsi="Arial" w:cs="Arial"/>
          <w:sz w:val="16"/>
          <w:szCs w:val="16"/>
        </w:rPr>
      </w:pPr>
    </w:p>
    <w:p w:rsidR="00DC62AC" w:rsidRPr="001646FB" w:rsidRDefault="00DC62AC" w:rsidP="00013D2C">
      <w:pPr>
        <w:jc w:val="both"/>
        <w:rPr>
          <w:rFonts w:ascii="Arial" w:hAnsi="Arial" w:cs="Arial"/>
          <w:sz w:val="24"/>
          <w:szCs w:val="24"/>
        </w:rPr>
      </w:pPr>
      <w:r w:rsidRPr="001646FB">
        <w:rPr>
          <w:rFonts w:ascii="Arial" w:hAnsi="Arial" w:cs="Arial"/>
          <w:sz w:val="24"/>
          <w:szCs w:val="24"/>
        </w:rPr>
        <w:t xml:space="preserve">Ces inspections sont formalisées dans un rapport qui précise les remarques et </w:t>
      </w:r>
      <w:r w:rsidR="00013D2C" w:rsidRPr="001646FB">
        <w:rPr>
          <w:rFonts w:ascii="Arial" w:hAnsi="Arial" w:cs="Arial"/>
          <w:sz w:val="24"/>
          <w:szCs w:val="24"/>
        </w:rPr>
        <w:t xml:space="preserve">les </w:t>
      </w:r>
      <w:r w:rsidRPr="001646FB">
        <w:rPr>
          <w:rFonts w:ascii="Arial" w:hAnsi="Arial" w:cs="Arial"/>
          <w:sz w:val="24"/>
          <w:szCs w:val="24"/>
        </w:rPr>
        <w:t>écarts constatés</w:t>
      </w:r>
    </w:p>
    <w:p w:rsidR="00DC62AC" w:rsidRPr="001646FB" w:rsidRDefault="00DC62AC" w:rsidP="00013D2C">
      <w:pPr>
        <w:pStyle w:val="Paragraphedeliste"/>
        <w:numPr>
          <w:ilvl w:val="0"/>
          <w:numId w:val="1"/>
        </w:numPr>
        <w:jc w:val="both"/>
        <w:rPr>
          <w:rFonts w:ascii="Arial" w:hAnsi="Arial" w:cs="Arial"/>
          <w:sz w:val="24"/>
          <w:szCs w:val="24"/>
        </w:rPr>
      </w:pPr>
      <w:r w:rsidRPr="001646FB">
        <w:rPr>
          <w:rFonts w:ascii="Arial" w:hAnsi="Arial" w:cs="Arial"/>
          <w:sz w:val="24"/>
          <w:szCs w:val="24"/>
        </w:rPr>
        <w:t>Une remarque est un dysfonctionnement sans référence à une référence juridique opposable mais qui génère un risque plus ou moins critique</w:t>
      </w:r>
    </w:p>
    <w:p w:rsidR="00DC62AC" w:rsidRPr="001646FB" w:rsidRDefault="00DC62AC" w:rsidP="00013D2C">
      <w:pPr>
        <w:pStyle w:val="Paragraphedeliste"/>
        <w:numPr>
          <w:ilvl w:val="0"/>
          <w:numId w:val="1"/>
        </w:numPr>
        <w:jc w:val="both"/>
        <w:rPr>
          <w:rFonts w:ascii="Arial" w:hAnsi="Arial" w:cs="Arial"/>
          <w:sz w:val="24"/>
          <w:szCs w:val="24"/>
        </w:rPr>
      </w:pPr>
      <w:r w:rsidRPr="001646FB">
        <w:rPr>
          <w:rFonts w:ascii="Arial" w:hAnsi="Arial" w:cs="Arial"/>
          <w:sz w:val="24"/>
          <w:szCs w:val="24"/>
        </w:rPr>
        <w:t>Un écart est une non-conformité à une référence juridique opposable</w:t>
      </w:r>
    </w:p>
    <w:p w:rsidR="00EE33E9" w:rsidRDefault="00EE33E9">
      <w:pPr>
        <w:rPr>
          <w:rFonts w:ascii="Arial" w:hAnsi="Arial" w:cs="Arial"/>
          <w:sz w:val="16"/>
          <w:szCs w:val="16"/>
        </w:rPr>
      </w:pPr>
    </w:p>
    <w:p w:rsidR="00013D2C" w:rsidRPr="001646FB" w:rsidRDefault="00DC62AC"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Objectif</w:t>
      </w:r>
      <w:r w:rsidR="00761DB2" w:rsidRPr="001646FB">
        <w:rPr>
          <w:rFonts w:ascii="Arial" w:hAnsi="Arial" w:cs="Arial"/>
          <w:b/>
          <w:caps/>
          <w:sz w:val="32"/>
          <w:szCs w:val="32"/>
          <w:shd w:val="clear" w:color="auto" w:fill="D9D9D9" w:themeFill="background1" w:themeFillShade="D9"/>
        </w:rPr>
        <w:t>s</w:t>
      </w:r>
      <w:r w:rsidRPr="001646FB">
        <w:rPr>
          <w:rFonts w:ascii="Arial" w:hAnsi="Arial" w:cs="Arial"/>
          <w:b/>
          <w:caps/>
          <w:sz w:val="32"/>
          <w:szCs w:val="32"/>
          <w:shd w:val="clear" w:color="auto" w:fill="D9D9D9" w:themeFill="background1" w:themeFillShade="D9"/>
        </w:rPr>
        <w:t> :</w:t>
      </w:r>
      <w:r w:rsidR="00805966" w:rsidRPr="001646FB">
        <w:rPr>
          <w:rFonts w:ascii="Arial" w:hAnsi="Arial" w:cs="Arial"/>
          <w:b/>
          <w:caps/>
          <w:sz w:val="32"/>
          <w:szCs w:val="32"/>
        </w:rPr>
        <w:t xml:space="preserve"> </w:t>
      </w:r>
    </w:p>
    <w:p w:rsidR="00EE33E9" w:rsidRPr="001646FB" w:rsidRDefault="00EE33E9">
      <w:pPr>
        <w:rPr>
          <w:rFonts w:ascii="Arial" w:hAnsi="Arial" w:cs="Arial"/>
          <w:sz w:val="16"/>
          <w:szCs w:val="16"/>
        </w:rPr>
      </w:pPr>
    </w:p>
    <w:p w:rsidR="00013D2C" w:rsidRPr="001646FB" w:rsidRDefault="00281095">
      <w:pPr>
        <w:rPr>
          <w:rFonts w:ascii="Arial" w:hAnsi="Arial" w:cs="Arial"/>
          <w:sz w:val="24"/>
          <w:szCs w:val="24"/>
        </w:rPr>
      </w:pPr>
      <w:r w:rsidRPr="001646FB">
        <w:rPr>
          <w:rFonts w:ascii="Arial" w:hAnsi="Arial" w:cs="Arial"/>
          <w:sz w:val="24"/>
          <w:szCs w:val="24"/>
        </w:rPr>
        <w:t>Diffuser les données des inspections pour en faire bénéficier l’ensemble des dépôts</w:t>
      </w:r>
      <w:r w:rsidR="00050A0F" w:rsidRPr="001646FB">
        <w:rPr>
          <w:rFonts w:ascii="Arial" w:hAnsi="Arial" w:cs="Arial"/>
          <w:sz w:val="24"/>
          <w:szCs w:val="24"/>
        </w:rPr>
        <w:t xml:space="preserve"> en mettant à di</w:t>
      </w:r>
      <w:r w:rsidR="008F4C4F">
        <w:rPr>
          <w:rFonts w:ascii="Arial" w:hAnsi="Arial" w:cs="Arial"/>
          <w:sz w:val="24"/>
          <w:szCs w:val="24"/>
        </w:rPr>
        <w:t>sposition une banque de données qui sera actualisée régulièrement.</w:t>
      </w:r>
    </w:p>
    <w:p w:rsidR="001646FB" w:rsidRPr="001646FB" w:rsidRDefault="001646FB">
      <w:pPr>
        <w:rPr>
          <w:rFonts w:ascii="Arial" w:hAnsi="Arial" w:cs="Arial"/>
          <w:sz w:val="24"/>
          <w:szCs w:val="24"/>
        </w:rPr>
      </w:pPr>
    </w:p>
    <w:p w:rsidR="000A63C3" w:rsidRPr="001646FB" w:rsidRDefault="000A63C3">
      <w:pPr>
        <w:rPr>
          <w:rFonts w:ascii="Arial" w:hAnsi="Arial" w:cs="Arial"/>
          <w:sz w:val="24"/>
          <w:szCs w:val="24"/>
        </w:rPr>
      </w:pPr>
      <w:r w:rsidRPr="001646FB">
        <w:rPr>
          <w:rFonts w:ascii="Arial" w:hAnsi="Arial" w:cs="Arial"/>
          <w:sz w:val="24"/>
          <w:szCs w:val="24"/>
        </w:rPr>
        <w:t>Optimiser les futures inspections</w:t>
      </w:r>
      <w:r w:rsidR="008F4C4F">
        <w:rPr>
          <w:rFonts w:ascii="Arial" w:hAnsi="Arial" w:cs="Arial"/>
          <w:sz w:val="24"/>
          <w:szCs w:val="24"/>
        </w:rPr>
        <w:t>.</w:t>
      </w:r>
    </w:p>
    <w:p w:rsidR="001646FB" w:rsidRPr="001646FB" w:rsidRDefault="001646FB">
      <w:pPr>
        <w:rPr>
          <w:rFonts w:ascii="Arial" w:hAnsi="Arial" w:cs="Arial"/>
          <w:sz w:val="24"/>
          <w:szCs w:val="24"/>
        </w:rPr>
      </w:pPr>
    </w:p>
    <w:p w:rsidR="00DC62AC" w:rsidRPr="001646FB" w:rsidRDefault="001646FB">
      <w:pPr>
        <w:rPr>
          <w:rFonts w:ascii="Arial" w:hAnsi="Arial" w:cs="Arial"/>
          <w:sz w:val="24"/>
          <w:szCs w:val="24"/>
        </w:rPr>
      </w:pPr>
      <w:r w:rsidRPr="001646FB">
        <w:rPr>
          <w:rFonts w:ascii="Arial" w:hAnsi="Arial" w:cs="Arial"/>
          <w:sz w:val="24"/>
          <w:szCs w:val="24"/>
        </w:rPr>
        <w:t>Mettre en évidence les points de faiblesse et e</w:t>
      </w:r>
      <w:r w:rsidR="00A02CF4" w:rsidRPr="001646FB">
        <w:rPr>
          <w:rFonts w:ascii="Arial" w:hAnsi="Arial" w:cs="Arial"/>
          <w:sz w:val="24"/>
          <w:szCs w:val="24"/>
        </w:rPr>
        <w:t xml:space="preserve">nvisager la rédaction ou la révision </w:t>
      </w:r>
      <w:r w:rsidR="008F4C4F">
        <w:rPr>
          <w:rFonts w:ascii="Arial" w:hAnsi="Arial" w:cs="Arial"/>
          <w:sz w:val="24"/>
          <w:szCs w:val="24"/>
        </w:rPr>
        <w:t>de procédures cadres régionales.</w:t>
      </w:r>
    </w:p>
    <w:p w:rsidR="00DC62AC" w:rsidRDefault="00DC62AC">
      <w:pPr>
        <w:rPr>
          <w:rFonts w:ascii="Arial" w:hAnsi="Arial" w:cs="Arial"/>
          <w:sz w:val="16"/>
          <w:szCs w:val="16"/>
        </w:rPr>
      </w:pPr>
    </w:p>
    <w:p w:rsidR="00EE33E9" w:rsidRDefault="00EE33E9">
      <w:pPr>
        <w:rPr>
          <w:rFonts w:ascii="Arial" w:hAnsi="Arial" w:cs="Arial"/>
          <w:sz w:val="16"/>
          <w:szCs w:val="16"/>
        </w:rPr>
      </w:pPr>
      <w:r>
        <w:rPr>
          <w:rFonts w:ascii="Arial" w:hAnsi="Arial" w:cs="Arial"/>
          <w:sz w:val="16"/>
          <w:szCs w:val="16"/>
        </w:rPr>
        <w:br w:type="page"/>
      </w:r>
    </w:p>
    <w:p w:rsidR="000774E7" w:rsidRPr="00281095" w:rsidRDefault="000774E7" w:rsidP="00EE33E9">
      <w:pPr>
        <w:rPr>
          <w:rFonts w:ascii="Arial" w:hAnsi="Arial" w:cs="Arial"/>
          <w:sz w:val="16"/>
          <w:szCs w:val="16"/>
        </w:rPr>
      </w:pPr>
    </w:p>
    <w:p w:rsidR="00281095" w:rsidRPr="00A46EC0" w:rsidRDefault="00281095" w:rsidP="0001133C">
      <w:pPr>
        <w:shd w:val="clear" w:color="auto" w:fill="D9D9D9" w:themeFill="background1" w:themeFillShade="D9"/>
        <w:ind w:left="-284" w:right="-284"/>
        <w:jc w:val="both"/>
        <w:rPr>
          <w:rFonts w:ascii="Arial" w:hAnsi="Arial" w:cs="Arial"/>
          <w:b/>
          <w:caps/>
          <w:sz w:val="32"/>
          <w:szCs w:val="32"/>
        </w:rPr>
      </w:pPr>
      <w:r w:rsidRPr="00A46EC0">
        <w:rPr>
          <w:rFonts w:ascii="Arial" w:hAnsi="Arial" w:cs="Arial"/>
          <w:b/>
          <w:caps/>
          <w:sz w:val="32"/>
          <w:szCs w:val="32"/>
        </w:rPr>
        <w:t>Tableau des écarts et remarques constatés sur la période :</w:t>
      </w:r>
    </w:p>
    <w:p w:rsidR="00013D2C" w:rsidRPr="00013D2C" w:rsidRDefault="00013D2C">
      <w:pPr>
        <w:rPr>
          <w:rFonts w:ascii="Arial" w:hAnsi="Arial" w:cs="Arial"/>
          <w:b/>
          <w:sz w:val="16"/>
          <w:szCs w:val="16"/>
        </w:rPr>
      </w:pPr>
    </w:p>
    <w:tbl>
      <w:tblPr>
        <w:tblStyle w:val="Tramemoyenne2-Accent6"/>
        <w:tblW w:w="10823" w:type="dxa"/>
        <w:tblBorders>
          <w:top w:val="none" w:sz="0" w:space="0" w:color="auto"/>
          <w:bottom w:val="none" w:sz="0" w:space="0" w:color="auto"/>
        </w:tblBorders>
        <w:tblLook w:val="04A0" w:firstRow="1" w:lastRow="0" w:firstColumn="1" w:lastColumn="0" w:noHBand="0" w:noVBand="1"/>
      </w:tblPr>
      <w:tblGrid>
        <w:gridCol w:w="675"/>
        <w:gridCol w:w="4678"/>
        <w:gridCol w:w="4394"/>
        <w:gridCol w:w="1076"/>
      </w:tblGrid>
      <w:tr w:rsidR="00E44E93" w:rsidRPr="000774E7" w:rsidTr="00761DB2">
        <w:trPr>
          <w:cnfStyle w:val="100000000000" w:firstRow="1" w:lastRow="0" w:firstColumn="0" w:lastColumn="0" w:oddVBand="0" w:evenVBand="0" w:oddHBand="0" w:evenHBand="0" w:firstRowFirstColumn="0" w:firstRowLastColumn="0" w:lastRowFirstColumn="0" w:lastRowLastColumn="0"/>
          <w:cantSplit/>
          <w:trHeight w:val="1304"/>
        </w:trPr>
        <w:tc>
          <w:tcPr>
            <w:cnfStyle w:val="001000000100" w:firstRow="0" w:lastRow="0" w:firstColumn="1" w:lastColumn="0" w:oddVBand="0" w:evenVBand="0" w:oddHBand="0" w:evenHBand="0" w:firstRowFirstColumn="1"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44E93" w:rsidRPr="000774E7" w:rsidRDefault="00E44E93" w:rsidP="00850E59">
            <w:pPr>
              <w:ind w:left="113" w:right="113"/>
              <w:jc w:val="center"/>
              <w:rPr>
                <w:rFonts w:ascii="Arial" w:hAnsi="Arial" w:cs="Arial"/>
                <w:color w:val="auto"/>
                <w:sz w:val="18"/>
                <w:szCs w:val="18"/>
              </w:rPr>
            </w:pPr>
            <w:r w:rsidRPr="000774E7">
              <w:rPr>
                <w:rFonts w:ascii="Arial" w:hAnsi="Arial" w:cs="Arial"/>
                <w:color w:val="auto"/>
                <w:sz w:val="18"/>
                <w:szCs w:val="18"/>
              </w:rPr>
              <w:t>Ecart / Remarque</w:t>
            </w:r>
          </w:p>
        </w:tc>
        <w:tc>
          <w:tcPr>
            <w:tcW w:w="4678"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44E93" w:rsidRPr="000774E7" w:rsidRDefault="00E44E93" w:rsidP="00850E5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774E7">
              <w:rPr>
                <w:rFonts w:ascii="Arial" w:hAnsi="Arial" w:cs="Arial"/>
                <w:color w:val="auto"/>
                <w:sz w:val="18"/>
                <w:szCs w:val="18"/>
              </w:rPr>
              <w:t>Intitulé</w:t>
            </w:r>
          </w:p>
        </w:tc>
        <w:tc>
          <w:tcPr>
            <w:tcW w:w="4394"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44E93" w:rsidRPr="000774E7" w:rsidRDefault="00E44E93" w:rsidP="00850E5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774E7">
              <w:rPr>
                <w:rFonts w:ascii="Arial" w:hAnsi="Arial" w:cs="Arial"/>
                <w:color w:val="auto"/>
                <w:sz w:val="18"/>
                <w:szCs w:val="18"/>
              </w:rPr>
              <w:t>Proposition de correction</w:t>
            </w:r>
          </w:p>
        </w:tc>
        <w:tc>
          <w:tcPr>
            <w:tcW w:w="1076"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44E93" w:rsidRPr="000774E7" w:rsidRDefault="00E44E93" w:rsidP="00B32A2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0774E7">
              <w:rPr>
                <w:rFonts w:ascii="Arial" w:hAnsi="Arial" w:cs="Arial"/>
                <w:color w:val="auto"/>
                <w:sz w:val="18"/>
                <w:szCs w:val="18"/>
              </w:rPr>
              <w:t>Thème</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9D9D9" w:themeFill="background1" w:themeFillShade="D9"/>
            <w:vAlign w:val="center"/>
          </w:tcPr>
          <w:p w:rsidR="00E44E93" w:rsidRPr="000774E7" w:rsidRDefault="00E44E93" w:rsidP="004C6E7E">
            <w:pPr>
              <w:jc w:val="center"/>
              <w:rPr>
                <w:rFonts w:ascii="Arial" w:hAnsi="Arial" w:cs="Arial"/>
              </w:rPr>
            </w:pPr>
            <w:r w:rsidRPr="0030448A">
              <w:rPr>
                <w:rFonts w:ascii="Arial" w:hAnsi="Arial" w:cs="Arial"/>
                <w:color w:val="auto"/>
              </w:rPr>
              <w:t>E</w:t>
            </w:r>
          </w:p>
        </w:tc>
        <w:tc>
          <w:tcPr>
            <w:tcW w:w="4678" w:type="dxa"/>
            <w:shd w:val="clear" w:color="auto" w:fill="DDD9C3" w:themeFill="background2" w:themeFillShade="E6"/>
            <w:vAlign w:val="center"/>
          </w:tcPr>
          <w:p w:rsidR="00E44E93" w:rsidRPr="005406DF" w:rsidRDefault="00E44E93" w:rsidP="003044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La procédure de contrôle des prescriptions ne prévoit pas la conduite à tenir en cas de non-conformité en opposition à </w:t>
            </w:r>
            <w:r w:rsidRPr="00CE7F8F">
              <w:rPr>
                <w:rFonts w:ascii="Arial" w:hAnsi="Arial" w:cs="Arial"/>
                <w:bCs/>
                <w:sz w:val="18"/>
                <w:szCs w:val="18"/>
              </w:rPr>
              <w:t xml:space="preserve">la </w:t>
            </w:r>
            <w:r>
              <w:rPr>
                <w:rFonts w:ascii="Arial" w:hAnsi="Arial" w:cs="Arial"/>
                <w:sz w:val="18"/>
                <w:szCs w:val="18"/>
              </w:rPr>
              <w:t>décision</w:t>
            </w:r>
            <w:r w:rsidRPr="00CE7F8F">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5406DF" w:rsidRDefault="00E44E93" w:rsidP="00E44E9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Revoir le document en précisant ce qu’il faut faire, comment on enregistre ces actions et en prenant toujours en compte l’urgence et le patient</w:t>
            </w:r>
          </w:p>
        </w:tc>
        <w:tc>
          <w:tcPr>
            <w:tcW w:w="1076" w:type="dxa"/>
            <w:shd w:val="clear" w:color="auto" w:fill="DDD9C3" w:themeFill="background2" w:themeFillShade="E6"/>
            <w:textDirection w:val="btLr"/>
            <w:vAlign w:val="center"/>
          </w:tcPr>
          <w:p w:rsidR="00E44E93"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Délivrance</w:t>
            </w:r>
          </w:p>
        </w:tc>
      </w:tr>
      <w:tr w:rsidR="00E44E93" w:rsidTr="00E44E93">
        <w:trPr>
          <w:cantSplit/>
          <w:trHeight w:val="153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auto"/>
            <w:vAlign w:val="center"/>
          </w:tcPr>
          <w:p w:rsidR="00E44E93" w:rsidRPr="000C1D1D" w:rsidRDefault="00E44E93" w:rsidP="000C1D1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C1D1D">
              <w:rPr>
                <w:rFonts w:ascii="Arial" w:hAnsi="Arial" w:cs="Arial"/>
                <w:sz w:val="18"/>
                <w:szCs w:val="18"/>
              </w:rPr>
              <w:t>Le dépôt ne suit pas les recommandations de la HAS « Recommandation de bonne pratique HAS 2014: Transfusion de globules rouges homologues » dans sa procédure de distribution en urgence vitale</w:t>
            </w:r>
          </w:p>
        </w:tc>
        <w:tc>
          <w:tcPr>
            <w:tcW w:w="4394" w:type="dxa"/>
            <w:shd w:val="clear" w:color="auto" w:fill="auto"/>
            <w:vAlign w:val="center"/>
          </w:tcPr>
          <w:p w:rsidR="00E44E93" w:rsidRPr="000C1D1D" w:rsidRDefault="00E44E93" w:rsidP="000C1D1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1D1D">
              <w:rPr>
                <w:rFonts w:ascii="Arial" w:hAnsi="Arial" w:cs="Arial"/>
                <w:sz w:val="18"/>
                <w:szCs w:val="18"/>
              </w:rPr>
              <w:t>Mettre à jour</w:t>
            </w:r>
            <w:r>
              <w:rPr>
                <w:rFonts w:ascii="Arial" w:hAnsi="Arial" w:cs="Arial"/>
                <w:sz w:val="18"/>
                <w:szCs w:val="18"/>
              </w:rPr>
              <w:t xml:space="preserve"> </w:t>
            </w:r>
            <w:bookmarkStart w:id="0" w:name="_GoBack"/>
            <w:bookmarkEnd w:id="0"/>
          </w:p>
        </w:tc>
        <w:tc>
          <w:tcPr>
            <w:tcW w:w="1076" w:type="dxa"/>
            <w:shd w:val="clear" w:color="auto" w:fill="auto"/>
            <w:textDirection w:val="btLr"/>
            <w:vAlign w:val="center"/>
          </w:tcPr>
          <w:p w:rsidR="00E44E93" w:rsidRPr="000C1D1D"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Documentation</w:t>
            </w:r>
          </w:p>
        </w:tc>
      </w:tr>
      <w:tr w:rsidR="00E44E93" w:rsidTr="00E44E93">
        <w:trPr>
          <w:cnfStyle w:val="000000100000" w:firstRow="0" w:lastRow="0" w:firstColumn="0" w:lastColumn="0" w:oddVBand="0" w:evenVBand="0" w:oddHBand="1" w:evenHBand="0" w:firstRowFirstColumn="0" w:firstRowLastColumn="0" w:lastRowFirstColumn="0" w:lastRowLastColumn="0"/>
          <w:cantSplit/>
          <w:trHeight w:val="153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DDD9C3" w:themeFill="background2" w:themeFillShade="E6"/>
            <w:vAlign w:val="center"/>
          </w:tcPr>
          <w:p w:rsidR="00E44E93" w:rsidRPr="000C1D1D" w:rsidRDefault="00E44E93" w:rsidP="000C1D1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C1D1D">
              <w:rPr>
                <w:rFonts w:ascii="Arial" w:hAnsi="Arial" w:cs="Arial"/>
                <w:sz w:val="18"/>
                <w:szCs w:val="18"/>
              </w:rPr>
              <w:t>Le dépôt ne dispose pas de la procédure de transfert par une équipe urgentiste d’un patient avec ses PSL lui permettant d’assurer la traçabilité des produits lors de ces circonstances.</w:t>
            </w:r>
          </w:p>
        </w:tc>
        <w:tc>
          <w:tcPr>
            <w:tcW w:w="4394" w:type="dxa"/>
            <w:shd w:val="clear" w:color="auto" w:fill="DDD9C3" w:themeFill="background2" w:themeFillShade="E6"/>
            <w:vAlign w:val="center"/>
          </w:tcPr>
          <w:p w:rsidR="00E44E93" w:rsidRPr="000C1D1D" w:rsidRDefault="00E44E93" w:rsidP="000C1D1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C1D1D">
              <w:rPr>
                <w:rFonts w:ascii="Arial" w:hAnsi="Arial" w:cs="Arial"/>
                <w:sz w:val="18"/>
                <w:szCs w:val="18"/>
              </w:rPr>
              <w:t>A rédiger même si cela n’est que rarement utile pour l’établissement</w:t>
            </w:r>
            <w:r>
              <w:rPr>
                <w:rFonts w:ascii="Arial" w:hAnsi="Arial" w:cs="Arial"/>
                <w:sz w:val="18"/>
                <w:szCs w:val="18"/>
              </w:rPr>
              <w:t>. Le point le plus important est de prévoir comment sera réalisée la traçabilité.</w:t>
            </w:r>
          </w:p>
        </w:tc>
        <w:tc>
          <w:tcPr>
            <w:tcW w:w="1076" w:type="dxa"/>
            <w:shd w:val="clear" w:color="auto" w:fill="DDD9C3" w:themeFill="background2" w:themeFillShade="E6"/>
            <w:textDirection w:val="btLr"/>
            <w:vAlign w:val="center"/>
          </w:tcPr>
          <w:p w:rsidR="00E44E93" w:rsidRPr="000C1D1D"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Documentation</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5D6C69" w:rsidRDefault="00E44E93" w:rsidP="005D6C69">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5D6C69">
              <w:rPr>
                <w:rFonts w:ascii="Arial" w:hAnsi="Arial" w:cs="Arial"/>
                <w:sz w:val="18"/>
                <w:szCs w:val="18"/>
              </w:rPr>
              <w:t>Une convention spécifique doit être rédigée en conformité avec l’a</w:t>
            </w:r>
            <w:r w:rsidRPr="005D6C69">
              <w:rPr>
                <w:rFonts w:ascii="Arial" w:hAnsi="Arial" w:cs="Arial"/>
                <w:bCs/>
                <w:sz w:val="18"/>
                <w:szCs w:val="18"/>
              </w:rPr>
              <w:t>rrêté du 10 octobre 2007 fixant les conditions relatives à l'entreposage des produits sanguins labiles dans les services des établissements de santé.</w:t>
            </w:r>
          </w:p>
        </w:tc>
        <w:tc>
          <w:tcPr>
            <w:tcW w:w="4394" w:type="dxa"/>
            <w:shd w:val="clear" w:color="auto" w:fill="auto"/>
            <w:vAlign w:val="center"/>
          </w:tcPr>
          <w:p w:rsidR="00E44E93" w:rsidRPr="005D6C69" w:rsidRDefault="00E44E93" w:rsidP="005D6C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6C69">
              <w:rPr>
                <w:rFonts w:ascii="Arial" w:hAnsi="Arial" w:cs="Arial"/>
                <w:sz w:val="18"/>
                <w:szCs w:val="18"/>
              </w:rPr>
              <w:t>L’entreposage doit être géré de manière totalement distincte du dépôt</w:t>
            </w:r>
          </w:p>
          <w:p w:rsidR="00E44E93" w:rsidRPr="005D6C69" w:rsidRDefault="00E44E93"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Convention avec EFS</w:t>
            </w:r>
            <w:r w:rsidRPr="005D6C69">
              <w:rPr>
                <w:rFonts w:ascii="Arial" w:hAnsi="Arial" w:cs="Arial"/>
                <w:sz w:val="18"/>
                <w:szCs w:val="18"/>
              </w:rPr>
              <w:t xml:space="preserve"> séparée</w:t>
            </w:r>
            <w:r>
              <w:rPr>
                <w:rFonts w:ascii="Arial" w:hAnsi="Arial" w:cs="Arial"/>
                <w:sz w:val="18"/>
                <w:szCs w:val="18"/>
              </w:rPr>
              <w:t xml:space="preserve"> et pas juste un petit chapitre dans la convention de dépôt</w:t>
            </w:r>
          </w:p>
          <w:p w:rsidR="00E44E93" w:rsidRPr="005D6C69" w:rsidRDefault="00E44E93"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6C69">
              <w:rPr>
                <w:rFonts w:ascii="Arial" w:hAnsi="Arial" w:cs="Arial"/>
                <w:sz w:val="18"/>
                <w:szCs w:val="18"/>
              </w:rPr>
              <w:t>Locaux séparés</w:t>
            </w:r>
          </w:p>
          <w:p w:rsidR="00E44E93" w:rsidRPr="005D6C69" w:rsidRDefault="00E44E93"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6C69">
              <w:rPr>
                <w:rFonts w:ascii="Arial" w:hAnsi="Arial" w:cs="Arial"/>
                <w:sz w:val="18"/>
                <w:szCs w:val="18"/>
              </w:rPr>
              <w:t>Procédures séparées</w:t>
            </w:r>
          </w:p>
        </w:tc>
        <w:tc>
          <w:tcPr>
            <w:tcW w:w="1076" w:type="dxa"/>
            <w:shd w:val="clear" w:color="auto" w:fill="auto"/>
            <w:textDirection w:val="btLr"/>
            <w:vAlign w:val="center"/>
          </w:tcPr>
          <w:p w:rsidR="00E44E93" w:rsidRPr="005D6C69"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Entreposage</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DDD9C3" w:themeFill="background2" w:themeFillShade="E6"/>
            <w:vAlign w:val="center"/>
          </w:tcPr>
          <w:p w:rsidR="00E44E93" w:rsidRPr="00CA28A4" w:rsidRDefault="00E44E93" w:rsidP="00CA28A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A28A4">
              <w:rPr>
                <w:rFonts w:ascii="Arial" w:hAnsi="Arial" w:cs="Arial"/>
                <w:sz w:val="18"/>
                <w:szCs w:val="18"/>
              </w:rPr>
              <w:t xml:space="preserve">Le nombre de PSL détruit est élevé </w:t>
            </w:r>
            <w:r>
              <w:rPr>
                <w:rFonts w:ascii="Arial" w:hAnsi="Arial" w:cs="Arial"/>
                <w:sz w:val="18"/>
                <w:szCs w:val="18"/>
              </w:rPr>
              <w:t>et dépasse la référence national</w:t>
            </w:r>
            <w:r w:rsidRPr="00CA28A4">
              <w:rPr>
                <w:rFonts w:ascii="Arial" w:hAnsi="Arial" w:cs="Arial"/>
                <w:sz w:val="18"/>
                <w:szCs w:val="18"/>
              </w:rPr>
              <w:t>e (1% des PSL consommés par l’établissement de soins).</w:t>
            </w:r>
          </w:p>
        </w:tc>
        <w:tc>
          <w:tcPr>
            <w:tcW w:w="4394" w:type="dxa"/>
            <w:shd w:val="clear" w:color="auto" w:fill="DDD9C3" w:themeFill="background2" w:themeFillShade="E6"/>
            <w:vAlign w:val="center"/>
          </w:tcPr>
          <w:p w:rsidR="00E44E93" w:rsidRPr="00CA28A4" w:rsidRDefault="00E44E93"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Mettre en place une analyse des destructions</w:t>
            </w:r>
          </w:p>
          <w:p w:rsidR="00E44E93" w:rsidRPr="00CA28A4" w:rsidRDefault="00E44E93"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Mettre en place et suivre un indicateur de qualité sur ce thème</w:t>
            </w:r>
          </w:p>
          <w:p w:rsidR="00E44E93" w:rsidRPr="00CA28A4" w:rsidRDefault="00E44E93"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Analyse et proposition d’actions correctives</w:t>
            </w:r>
          </w:p>
        </w:tc>
        <w:tc>
          <w:tcPr>
            <w:tcW w:w="1076" w:type="dxa"/>
            <w:shd w:val="clear" w:color="auto" w:fill="DDD9C3" w:themeFill="background2" w:themeFillShade="E6"/>
            <w:textDirection w:val="btLr"/>
            <w:vAlign w:val="center"/>
          </w:tcPr>
          <w:p w:rsidR="00E44E93" w:rsidRPr="00AF617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Hémovigilance</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9C7F57"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C7F57">
              <w:rPr>
                <w:rFonts w:ascii="Arial" w:hAnsi="Arial" w:cs="Arial"/>
                <w:bCs/>
                <w:sz w:val="18"/>
                <w:szCs w:val="18"/>
              </w:rPr>
              <w:t xml:space="preserve">Les phases d’entretien du matériel ne sont pas systématiquement enregistrées et validées en opposition à la </w:t>
            </w:r>
            <w:r>
              <w:rPr>
                <w:rFonts w:ascii="Arial" w:hAnsi="Arial" w:cs="Arial"/>
                <w:sz w:val="18"/>
                <w:szCs w:val="18"/>
              </w:rPr>
              <w:t>décision</w:t>
            </w:r>
            <w:r w:rsidRPr="009C7F57">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A9154D" w:rsidRDefault="00E44E93"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Prévoir un recueil des données papier ou informatique</w:t>
            </w:r>
          </w:p>
          <w:p w:rsidR="00E44E93" w:rsidRPr="00A9154D" w:rsidRDefault="00E44E93"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Faire remplir ce support régulièrement avec le visa ou la signature de la personne (ne pas se limiter à une croix…)</w:t>
            </w:r>
          </w:p>
          <w:p w:rsidR="00E44E93" w:rsidRPr="00A9154D" w:rsidRDefault="00E44E93"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Vérifier régulièrement la qualité du remplissage du recueil des données</w:t>
            </w:r>
          </w:p>
        </w:tc>
        <w:tc>
          <w:tcPr>
            <w:tcW w:w="1076" w:type="dxa"/>
            <w:shd w:val="clear" w:color="auto" w:fill="auto"/>
            <w:textDirection w:val="btLr"/>
            <w:vAlign w:val="center"/>
          </w:tcPr>
          <w:p w:rsidR="00E44E93" w:rsidRPr="00A9154D" w:rsidRDefault="00E44E93" w:rsidP="00B32A2C">
            <w:pPr>
              <w:pStyle w:val="Paragraphedeliste"/>
              <w:ind w:left="47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44E93" w:rsidRPr="00A9154D"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A9154D"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A9154D">
              <w:rPr>
                <w:rFonts w:ascii="Arial" w:hAnsi="Arial" w:cs="Arial"/>
                <w:bCs/>
                <w:sz w:val="18"/>
                <w:szCs w:val="18"/>
              </w:rPr>
              <w:t xml:space="preserve">Les phases d’entretien du local ne sont pas systématiquement enregistrées et validées en opposition à la </w:t>
            </w:r>
            <w:r>
              <w:rPr>
                <w:rFonts w:ascii="Arial" w:hAnsi="Arial" w:cs="Arial"/>
                <w:sz w:val="18"/>
                <w:szCs w:val="18"/>
              </w:rPr>
              <w:t>Décision</w:t>
            </w:r>
            <w:r w:rsidRPr="00A9154D">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Default="00E44E93" w:rsidP="00A9154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Lorsque le dépôt sous-</w:t>
            </w:r>
            <w:r w:rsidRPr="00A9154D">
              <w:rPr>
                <w:rFonts w:ascii="Arial" w:hAnsi="Arial" w:cs="Arial"/>
                <w:sz w:val="18"/>
                <w:szCs w:val="18"/>
              </w:rPr>
              <w:t>traite l’entretien du local :</w:t>
            </w:r>
          </w:p>
          <w:p w:rsidR="00E44E93" w:rsidRPr="000332B7" w:rsidRDefault="00E44E93"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Etablir un cahier des charges, modalités, fréquence et précautions</w:t>
            </w:r>
          </w:p>
          <w:p w:rsidR="00E44E93" w:rsidRPr="000332B7" w:rsidRDefault="00E44E93"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Demander un relevé des opérations avec identification de la personne</w:t>
            </w:r>
          </w:p>
          <w:p w:rsidR="00E44E93" w:rsidRPr="000332B7" w:rsidRDefault="00E44E93"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Vérifié les réalisations de manière périodique</w:t>
            </w:r>
          </w:p>
        </w:tc>
        <w:tc>
          <w:tcPr>
            <w:tcW w:w="1076" w:type="dxa"/>
            <w:shd w:val="clear" w:color="auto" w:fill="DDD9C3" w:themeFill="background2" w:themeFillShade="E6"/>
            <w:textDirection w:val="btLr"/>
            <w:vAlign w:val="center"/>
          </w:tcPr>
          <w:p w:rsidR="00E44E93"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vAlign w:val="center"/>
          </w:tcPr>
          <w:p w:rsidR="00E44E93" w:rsidRPr="007819DE"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819DE">
              <w:rPr>
                <w:rFonts w:ascii="Arial" w:hAnsi="Arial" w:cs="Arial"/>
                <w:bCs/>
                <w:sz w:val="18"/>
                <w:szCs w:val="18"/>
              </w:rPr>
              <w:t>Il n’existe pas de document au niveau du dépôt expliquant les modalités de destruction des PSL selon leur état (clos ou ouvert) et permettant d’assurer une bonne traçabilité des produits détruits s</w:t>
            </w:r>
            <w:r w:rsidRPr="007819DE">
              <w:rPr>
                <w:rFonts w:ascii="Arial" w:hAnsi="Arial" w:cs="Arial"/>
                <w:sz w:val="18"/>
                <w:szCs w:val="18"/>
              </w:rPr>
              <w:t xml:space="preserve">elon </w:t>
            </w:r>
            <w:r w:rsidRPr="007819DE">
              <w:rPr>
                <w:rFonts w:ascii="Arial" w:hAnsi="Arial" w:cs="Arial"/>
                <w:bCs/>
                <w:sz w:val="18"/>
                <w:szCs w:val="18"/>
              </w:rPr>
              <w:t xml:space="preserve">la </w:t>
            </w:r>
            <w:r>
              <w:rPr>
                <w:rFonts w:ascii="Arial" w:hAnsi="Arial" w:cs="Arial"/>
                <w:bCs/>
                <w:sz w:val="18"/>
                <w:szCs w:val="18"/>
              </w:rPr>
              <w:t>décision</w:t>
            </w:r>
            <w:r w:rsidRPr="007819DE">
              <w:rPr>
                <w:rFonts w:ascii="Arial" w:hAnsi="Arial" w:cs="Arial"/>
                <w:sz w:val="18"/>
                <w:szCs w:val="18"/>
              </w:rPr>
              <w:t xml:space="preserve"> du 10 Juillet 2018 définissant les principes de bonnes pratiques prévus à l’article L.1222.12 du code de santé publique.</w:t>
            </w:r>
          </w:p>
        </w:tc>
        <w:tc>
          <w:tcPr>
            <w:tcW w:w="4394" w:type="dxa"/>
            <w:vAlign w:val="center"/>
          </w:tcPr>
          <w:p w:rsidR="00E44E93" w:rsidRPr="00A9154D" w:rsidRDefault="00E44E93"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A rédiger dans une procédure spécifique ou dans la procédure de retour des produits par exemple.</w:t>
            </w:r>
          </w:p>
          <w:p w:rsidR="00E44E93" w:rsidRPr="00A9154D" w:rsidRDefault="00E44E93"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 xml:space="preserve">Bien faire la différence entre produits ouverts jetés localement et produit non ouvert retourné à EFS, entre produit </w:t>
            </w:r>
            <w:proofErr w:type="spellStart"/>
            <w:proofErr w:type="gramStart"/>
            <w:r w:rsidRPr="00A9154D">
              <w:rPr>
                <w:rFonts w:ascii="Arial" w:hAnsi="Arial" w:cs="Arial"/>
                <w:sz w:val="18"/>
                <w:szCs w:val="18"/>
              </w:rPr>
              <w:t>a</w:t>
            </w:r>
            <w:proofErr w:type="spellEnd"/>
            <w:proofErr w:type="gramEnd"/>
            <w:r w:rsidRPr="00A9154D">
              <w:rPr>
                <w:rFonts w:ascii="Arial" w:hAnsi="Arial" w:cs="Arial"/>
                <w:sz w:val="18"/>
                <w:szCs w:val="18"/>
              </w:rPr>
              <w:t xml:space="preserve"> détruire et produits conformes</w:t>
            </w:r>
          </w:p>
          <w:p w:rsidR="00E44E93" w:rsidRPr="00A9154D" w:rsidRDefault="00E44E93"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9154D">
              <w:rPr>
                <w:rFonts w:ascii="Arial" w:hAnsi="Arial" w:cs="Arial"/>
                <w:sz w:val="18"/>
                <w:szCs w:val="18"/>
              </w:rPr>
              <w:t>Décrire les modalités à suivre pour assurer la traçabilité selon le cas.</w:t>
            </w:r>
          </w:p>
        </w:tc>
        <w:tc>
          <w:tcPr>
            <w:tcW w:w="1076" w:type="dxa"/>
            <w:textDirection w:val="btLr"/>
            <w:vAlign w:val="center"/>
          </w:tcPr>
          <w:p w:rsidR="00E44E93" w:rsidRPr="00A9154D" w:rsidRDefault="00E44E93" w:rsidP="00B32A2C">
            <w:pPr>
              <w:pStyle w:val="Paragraphedeliste"/>
              <w:ind w:left="47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DD5F1E">
            <w:pPr>
              <w:jc w:val="center"/>
              <w:rPr>
                <w:rFonts w:ascii="Arial" w:hAnsi="Arial" w:cs="Arial"/>
                <w:color w:val="auto"/>
              </w:rPr>
            </w:pPr>
            <w:r>
              <w:rPr>
                <w:rFonts w:ascii="Arial" w:hAnsi="Arial" w:cs="Arial"/>
                <w:color w:val="auto"/>
              </w:rPr>
              <w:lastRenderedPageBreak/>
              <w:t>E</w:t>
            </w:r>
          </w:p>
        </w:tc>
        <w:tc>
          <w:tcPr>
            <w:tcW w:w="4678" w:type="dxa"/>
            <w:shd w:val="clear" w:color="auto" w:fill="DDD9C3" w:themeFill="background2" w:themeFillShade="E6"/>
            <w:vAlign w:val="center"/>
          </w:tcPr>
          <w:p w:rsidR="00E44E93" w:rsidRPr="00383D01"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02B">
              <w:rPr>
                <w:rFonts w:ascii="Arial" w:hAnsi="Arial" w:cs="Arial"/>
                <w:bCs/>
                <w:sz w:val="18"/>
                <w:szCs w:val="18"/>
              </w:rPr>
              <w:t>Il n’existe pas dans la documentation du dépôt de document précisant la conduite à tenir en cas d’accident avec une poche de sang.</w:t>
            </w:r>
            <w:r w:rsidRPr="003A202B">
              <w:rPr>
                <w:rFonts w:ascii="Arial" w:hAnsi="Arial" w:cs="Arial"/>
                <w:sz w:val="18"/>
                <w:szCs w:val="18"/>
              </w:rPr>
              <w:t xml:space="preserve"> en non-conformité avec l’a</w:t>
            </w:r>
            <w:r w:rsidRPr="003A202B">
              <w:rPr>
                <w:rStyle w:val="lev"/>
                <w:rFonts w:ascii="Arial" w:hAnsi="Arial" w:cs="Arial"/>
                <w:b w:val="0"/>
                <w:sz w:val="18"/>
                <w:szCs w:val="18"/>
              </w:rPr>
              <w:t>rrêté du 30 octobre 2007 relatif aux conditions d'autorisations des dépôts de sang pris en application des articles R. 1221-20-1 et R. 1221-20-3.</w:t>
            </w:r>
          </w:p>
        </w:tc>
        <w:tc>
          <w:tcPr>
            <w:tcW w:w="4394" w:type="dxa"/>
            <w:shd w:val="clear" w:color="auto" w:fill="DDD9C3" w:themeFill="background2" w:themeFillShade="E6"/>
            <w:vAlign w:val="center"/>
          </w:tcPr>
          <w:p w:rsidR="00E44E93" w:rsidRPr="009357C6" w:rsidRDefault="00E44E93"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A rédiger dans un document spécifique ou l’inclure dans une procédure d’hygiène. </w:t>
            </w:r>
          </w:p>
          <w:p w:rsidR="00E44E93" w:rsidRPr="009357C6" w:rsidRDefault="00E44E93"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Prendre en compte la possibilité qu’un gros volume de sang soit concerné. </w:t>
            </w:r>
          </w:p>
          <w:p w:rsidR="00E44E93" w:rsidRPr="009357C6" w:rsidRDefault="00E44E93"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Prévenir le sur-accident. </w:t>
            </w:r>
          </w:p>
          <w:p w:rsidR="00E44E93" w:rsidRPr="009357C6" w:rsidRDefault="00E44E93"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Avoir des outils de nettoyage adaptés</w:t>
            </w:r>
          </w:p>
          <w:p w:rsidR="00E44E93" w:rsidRPr="009357C6" w:rsidRDefault="00E44E93"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En cas de contact, proposer un</w:t>
            </w:r>
            <w:r>
              <w:rPr>
                <w:rFonts w:ascii="Arial" w:hAnsi="Arial" w:cs="Arial"/>
                <w:sz w:val="18"/>
                <w:szCs w:val="18"/>
              </w:rPr>
              <w:t xml:space="preserve">e consultation et </w:t>
            </w:r>
            <w:r w:rsidRPr="009357C6">
              <w:rPr>
                <w:rFonts w:ascii="Arial" w:hAnsi="Arial" w:cs="Arial"/>
                <w:sz w:val="18"/>
                <w:szCs w:val="18"/>
              </w:rPr>
              <w:t xml:space="preserve"> avis auprès du référent « risque exposition au sang »</w:t>
            </w:r>
          </w:p>
        </w:tc>
        <w:tc>
          <w:tcPr>
            <w:tcW w:w="1076" w:type="dxa"/>
            <w:shd w:val="clear" w:color="auto" w:fill="DDD9C3" w:themeFill="background2" w:themeFillShade="E6"/>
            <w:textDirection w:val="btLr"/>
            <w:vAlign w:val="center"/>
          </w:tcPr>
          <w:p w:rsidR="00E44E93" w:rsidRPr="00AF617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44E93" w:rsidTr="00D50AD1">
        <w:trPr>
          <w:cantSplit/>
          <w:trHeight w:val="198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B06977"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6977">
              <w:rPr>
                <w:rFonts w:ascii="Arial" w:hAnsi="Arial" w:cs="Arial"/>
                <w:sz w:val="18"/>
                <w:szCs w:val="18"/>
              </w:rPr>
              <w:t xml:space="preserve">Il n’existe pas d’enregistrement des contrôles du report des alarmes en opposition à la </w:t>
            </w:r>
            <w:r>
              <w:rPr>
                <w:rFonts w:ascii="Arial" w:hAnsi="Arial" w:cs="Arial"/>
                <w:sz w:val="18"/>
                <w:szCs w:val="18"/>
              </w:rPr>
              <w:t>décision</w:t>
            </w:r>
            <w:r w:rsidRPr="00B06977">
              <w:rPr>
                <w:rFonts w:ascii="Arial" w:hAnsi="Arial" w:cs="Arial"/>
                <w:sz w:val="18"/>
                <w:szCs w:val="18"/>
              </w:rPr>
              <w:t xml:space="preserve"> du </w:t>
            </w:r>
            <w:r>
              <w:rPr>
                <w:rFonts w:ascii="Arial" w:hAnsi="Arial" w:cs="Arial"/>
                <w:bCs/>
                <w:sz w:val="18"/>
                <w:szCs w:val="18"/>
              </w:rPr>
              <w:t>décision</w:t>
            </w:r>
            <w:r w:rsidRPr="00B06977">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B06977" w:rsidRDefault="00E44E93" w:rsidP="001B00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6977">
              <w:rPr>
                <w:rFonts w:ascii="Arial" w:hAnsi="Arial" w:cs="Arial"/>
                <w:sz w:val="18"/>
                <w:szCs w:val="18"/>
              </w:rPr>
              <w:t>Toutes les alarmes doivent être testées régulièrement pour démontrer qu’elles sont efficaces.</w:t>
            </w:r>
            <w:r>
              <w:rPr>
                <w:rFonts w:ascii="Arial" w:hAnsi="Arial" w:cs="Arial"/>
                <w:sz w:val="18"/>
                <w:szCs w:val="18"/>
              </w:rPr>
              <w:t xml:space="preserve"> </w:t>
            </w:r>
            <w:r w:rsidRPr="00B06977">
              <w:rPr>
                <w:rFonts w:ascii="Arial" w:hAnsi="Arial" w:cs="Arial"/>
                <w:sz w:val="18"/>
                <w:szCs w:val="18"/>
              </w:rPr>
              <w:t xml:space="preserve">Les reports d’alarmes sont concernés. </w:t>
            </w:r>
          </w:p>
          <w:p w:rsidR="00E44E93" w:rsidRPr="001B004C" w:rsidRDefault="00E44E93" w:rsidP="001B004C">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004C">
              <w:rPr>
                <w:rFonts w:ascii="Arial" w:hAnsi="Arial" w:cs="Arial"/>
                <w:sz w:val="18"/>
                <w:szCs w:val="18"/>
              </w:rPr>
              <w:t>Etablir un outil d’enregistrement en prévoyant les reports d’alarmes</w:t>
            </w:r>
          </w:p>
          <w:p w:rsidR="00E44E93" w:rsidRPr="001B004C" w:rsidRDefault="00E44E93" w:rsidP="001B004C">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004C">
              <w:rPr>
                <w:rFonts w:ascii="Arial" w:hAnsi="Arial" w:cs="Arial"/>
                <w:sz w:val="18"/>
                <w:szCs w:val="18"/>
              </w:rPr>
              <w:t>En cas de gestion des reports d’alarme par le service biomédical, vérifier que les tests sont réalisés de manière périodique</w:t>
            </w:r>
          </w:p>
        </w:tc>
        <w:tc>
          <w:tcPr>
            <w:tcW w:w="1076" w:type="dxa"/>
            <w:shd w:val="clear" w:color="auto" w:fill="auto"/>
            <w:textDirection w:val="btLr"/>
            <w:vAlign w:val="center"/>
          </w:tcPr>
          <w:p w:rsidR="00E44E93" w:rsidRPr="00B06977"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D62F64"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2F64">
              <w:rPr>
                <w:rFonts w:ascii="Arial" w:hAnsi="Arial"/>
                <w:bCs/>
                <w:sz w:val="18"/>
                <w:szCs w:val="18"/>
              </w:rPr>
              <w:t xml:space="preserve">Le personnel du dépôt réalise des vérifications des alarmes mais ces dernières ne sont pas toutes enregistrées et validées </w:t>
            </w:r>
            <w:r w:rsidRPr="00D62F64">
              <w:rPr>
                <w:rFonts w:ascii="Arial" w:hAnsi="Arial" w:cs="Arial"/>
                <w:bCs/>
                <w:sz w:val="18"/>
                <w:szCs w:val="18"/>
              </w:rPr>
              <w:t xml:space="preserve">en opposition à la </w:t>
            </w:r>
            <w:r>
              <w:rPr>
                <w:rFonts w:ascii="Arial" w:hAnsi="Arial" w:cs="Arial"/>
                <w:sz w:val="18"/>
                <w:szCs w:val="18"/>
              </w:rPr>
              <w:t>décision</w:t>
            </w:r>
            <w:r w:rsidRPr="00D62F64">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D62F64" w:rsidRDefault="00E44E93"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2F64">
              <w:rPr>
                <w:rFonts w:ascii="Arial" w:hAnsi="Arial" w:cs="Arial"/>
                <w:sz w:val="18"/>
                <w:szCs w:val="18"/>
              </w:rPr>
              <w:t>Pour les alarmes hautes :</w:t>
            </w:r>
          </w:p>
          <w:p w:rsidR="00E44E93" w:rsidRPr="002245DC" w:rsidRDefault="00E44E93" w:rsidP="002245DC">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Prévoir enregistrement du déclenchement de l’alarme lors des opérations de nettoyage</w:t>
            </w:r>
          </w:p>
          <w:p w:rsidR="00E44E93" w:rsidRPr="002245DC" w:rsidRDefault="00E44E93" w:rsidP="002245DC">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Etablir un outil d’enregistrement. On peut ajouter ce contrôle à la check liste des opérations de nettoyage entretien.</w:t>
            </w:r>
          </w:p>
          <w:p w:rsidR="00E44E93" w:rsidRPr="00D62F64" w:rsidRDefault="00E44E93"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2F64">
              <w:rPr>
                <w:rFonts w:ascii="Arial" w:hAnsi="Arial" w:cs="Arial"/>
                <w:sz w:val="18"/>
                <w:szCs w:val="18"/>
              </w:rPr>
              <w:t>Pour le seuil bas des enceintes CG :</w:t>
            </w:r>
          </w:p>
          <w:p w:rsidR="00E44E93" w:rsidRPr="002245DC" w:rsidRDefault="00E44E93" w:rsidP="002245DC">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Voir avec le service biomédical et enregistrer le contrôle</w:t>
            </w:r>
          </w:p>
          <w:p w:rsidR="00E44E93" w:rsidRDefault="00E44E93"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Il est possible également de vérifier les alarmes en décours des opérations de maintenance à condition de savoir avec précision ce que fait le prestataire ou le service biomédical.</w:t>
            </w:r>
          </w:p>
        </w:tc>
        <w:tc>
          <w:tcPr>
            <w:tcW w:w="1076" w:type="dxa"/>
            <w:shd w:val="clear" w:color="auto" w:fill="DDD9C3" w:themeFill="background2" w:themeFillShade="E6"/>
            <w:textDirection w:val="btLr"/>
            <w:vAlign w:val="center"/>
          </w:tcPr>
          <w:p w:rsidR="00E44E93" w:rsidRPr="00D62F64"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antSplit/>
          <w:trHeight w:val="170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CC6EFC"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C6EFC">
              <w:rPr>
                <w:rFonts w:ascii="Arial" w:hAnsi="Arial" w:cs="Arial"/>
                <w:bCs/>
                <w:sz w:val="18"/>
                <w:szCs w:val="18"/>
              </w:rPr>
              <w:t xml:space="preserve">Les disques d’enregistrement de la température des enceintes de conservation des produits sanguins ne sont pas validés par le personnel du dépôt ; rien ne permet de vérifier que les disques sont analysés et pris en compte en opposition à la </w:t>
            </w:r>
            <w:r>
              <w:rPr>
                <w:rFonts w:ascii="Arial" w:hAnsi="Arial" w:cs="Arial"/>
                <w:sz w:val="18"/>
                <w:szCs w:val="18"/>
              </w:rPr>
              <w:t>décision</w:t>
            </w:r>
            <w:r w:rsidRPr="00CC6EFC">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2F3FE5" w:rsidRDefault="00E44E93" w:rsidP="002F3FE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Les disques doivent être systématiquement analysés et validés par le visa ou la signature d’une personne du dépôt avant archivage pour attester de la normalité. En cas de non-conformité une déclaration d’évènement indésirable au sein du laboratoire est déclenchée.</w:t>
            </w:r>
          </w:p>
        </w:tc>
        <w:tc>
          <w:tcPr>
            <w:tcW w:w="1076" w:type="dxa"/>
            <w:shd w:val="clear" w:color="auto" w:fill="auto"/>
            <w:textDirection w:val="btLr"/>
            <w:vAlign w:val="center"/>
          </w:tcPr>
          <w:p w:rsidR="00E44E93"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CC6EFC"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C6EFC">
              <w:rPr>
                <w:rFonts w:ascii="Arial" w:hAnsi="Arial" w:cs="Arial"/>
                <w:bCs/>
                <w:sz w:val="18"/>
                <w:szCs w:val="18"/>
              </w:rPr>
              <w:t xml:space="preserve">Les enregistrements continus de la température des enceintes </w:t>
            </w:r>
            <w:r>
              <w:rPr>
                <w:rFonts w:ascii="Arial" w:hAnsi="Arial" w:cs="Arial"/>
                <w:bCs/>
                <w:sz w:val="18"/>
                <w:szCs w:val="18"/>
              </w:rPr>
              <w:t xml:space="preserve">transférés sur PC </w:t>
            </w:r>
            <w:r w:rsidRPr="00CC6EFC">
              <w:rPr>
                <w:rFonts w:ascii="Arial" w:hAnsi="Arial" w:cs="Arial"/>
                <w:bCs/>
                <w:sz w:val="18"/>
                <w:szCs w:val="18"/>
              </w:rPr>
              <w:t xml:space="preserve">ne sont pas validés par le personnel du dépôt. rien ne permet de vérifier que les tracés sont analysés et pris en compte en particulier pour la détection d’une dérive de la température en opposition à la </w:t>
            </w:r>
            <w:r>
              <w:rPr>
                <w:rFonts w:ascii="Arial" w:hAnsi="Arial" w:cs="Arial"/>
                <w:sz w:val="18"/>
                <w:szCs w:val="18"/>
              </w:rPr>
              <w:t>décision</w:t>
            </w:r>
            <w:r w:rsidRPr="00CC6EFC">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Default="00E44E93"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enregistrements continus transférés sur PC doivent être systématiquement analysés et validés par le visa ou la signature d’une personne du dépôt pour attester de la normalité et pour rechercher une éventuelle dérive En cas de non-conformité une déclaration d’évènement indésirable au sein du laboratoire est déclenchée.</w:t>
            </w:r>
          </w:p>
          <w:p w:rsidR="00E44E93" w:rsidRPr="002F3FE5" w:rsidRDefault="00E44E93"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Etablir une fréquence d’analyse du tracé informatique des enregistrements</w:t>
            </w:r>
          </w:p>
        </w:tc>
        <w:tc>
          <w:tcPr>
            <w:tcW w:w="1076" w:type="dxa"/>
            <w:shd w:val="clear" w:color="auto" w:fill="DDD9C3" w:themeFill="background2" w:themeFillShade="E6"/>
            <w:textDirection w:val="btLr"/>
            <w:vAlign w:val="center"/>
          </w:tcPr>
          <w:p w:rsidR="00E44E93"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9F4C9A"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F4C9A">
              <w:rPr>
                <w:rFonts w:ascii="Arial" w:hAnsi="Arial" w:cs="Arial"/>
                <w:bCs/>
                <w:sz w:val="18"/>
                <w:szCs w:val="18"/>
              </w:rPr>
              <w:t xml:space="preserve">Les qualifications (caractérisation) des enceintes de conservation des produits sanguins ne sont pas validées par le personnel du dépôt ; rien ne permet de vérifier que ces rapports sont analysés et pris en compte en opposition à la </w:t>
            </w:r>
            <w:r>
              <w:rPr>
                <w:rFonts w:ascii="Arial" w:hAnsi="Arial" w:cs="Arial"/>
                <w:sz w:val="18"/>
                <w:szCs w:val="18"/>
              </w:rPr>
              <w:t>décision</w:t>
            </w:r>
            <w:r w:rsidRPr="009F4C9A">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9F4C9A" w:rsidRDefault="00E44E93" w:rsidP="009F4C9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4C9A">
              <w:rPr>
                <w:rFonts w:ascii="Arial" w:hAnsi="Arial" w:cs="Arial"/>
                <w:sz w:val="18"/>
                <w:szCs w:val="18"/>
              </w:rPr>
              <w:t>Même si le prestataire analyse sa caractérisation en conforme et non conforme, le personnel du dépôt doit valider ce rapport de caractérisation en le signant de manière à prouver que le résultat a bien été pris en compte</w:t>
            </w:r>
          </w:p>
        </w:tc>
        <w:tc>
          <w:tcPr>
            <w:tcW w:w="1076" w:type="dxa"/>
            <w:shd w:val="clear" w:color="auto" w:fill="auto"/>
            <w:textDirection w:val="btLr"/>
            <w:vAlign w:val="center"/>
          </w:tcPr>
          <w:p w:rsidR="00E44E93" w:rsidRPr="00A02CF4" w:rsidRDefault="00E44E93" w:rsidP="00DD5F1E">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2CF4">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DD9C3" w:themeFill="background2" w:themeFillShade="E6"/>
            <w:vAlign w:val="center"/>
          </w:tcPr>
          <w:p w:rsidR="00E44E93" w:rsidRPr="000774E7" w:rsidRDefault="00E44E93" w:rsidP="004C6E7E">
            <w:pPr>
              <w:jc w:val="center"/>
              <w:rPr>
                <w:rFonts w:ascii="Arial" w:hAnsi="Arial" w:cs="Arial"/>
              </w:rPr>
            </w:pPr>
            <w:r w:rsidRPr="00B537A6">
              <w:rPr>
                <w:rFonts w:ascii="Arial" w:hAnsi="Arial" w:cs="Arial"/>
                <w:color w:val="auto"/>
              </w:rPr>
              <w:t>E</w:t>
            </w:r>
          </w:p>
        </w:tc>
        <w:tc>
          <w:tcPr>
            <w:tcW w:w="4678" w:type="dxa"/>
            <w:shd w:val="clear" w:color="auto" w:fill="DDD9C3" w:themeFill="background2" w:themeFillShade="E6"/>
            <w:vAlign w:val="center"/>
          </w:tcPr>
          <w:p w:rsidR="00E44E93" w:rsidRPr="009F4C9A" w:rsidRDefault="00E44E93" w:rsidP="00B537A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B537A6">
              <w:rPr>
                <w:rFonts w:ascii="Arial" w:hAnsi="Arial" w:cs="Arial"/>
                <w:bCs/>
                <w:sz w:val="18"/>
                <w:szCs w:val="18"/>
              </w:rPr>
              <w:t xml:space="preserve">Il existe dans les enceintes de dépannage du matériel non liés aux produits sanguins, en opposition à la </w:t>
            </w:r>
            <w:r w:rsidRPr="00B537A6">
              <w:rPr>
                <w:rFonts w:ascii="Arial" w:hAnsi="Arial" w:cs="Arial"/>
                <w:sz w:val="18"/>
                <w:szCs w:val="18"/>
              </w:rPr>
              <w:t>Décision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9F4C9A" w:rsidRDefault="00E44E93" w:rsidP="009F4C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Supprimer tout matériel différent des produits sanguins, des plaques eutectiques. Tolérance pour les produits dérivés du sang à garder au froid et uniquement dans les enceintes de dépannage</w:t>
            </w:r>
          </w:p>
        </w:tc>
        <w:tc>
          <w:tcPr>
            <w:tcW w:w="1076" w:type="dxa"/>
            <w:shd w:val="clear" w:color="auto" w:fill="DDD9C3" w:themeFill="background2" w:themeFillShade="E6"/>
            <w:textDirection w:val="btLr"/>
            <w:vAlign w:val="center"/>
          </w:tcPr>
          <w:p w:rsidR="00E44E93" w:rsidRPr="00A02CF4" w:rsidRDefault="00E44E93" w:rsidP="00DD5F1E">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lastRenderedPageBreak/>
              <w:t>E</w:t>
            </w:r>
          </w:p>
        </w:tc>
        <w:tc>
          <w:tcPr>
            <w:tcW w:w="4678" w:type="dxa"/>
            <w:shd w:val="clear" w:color="auto" w:fill="auto"/>
            <w:vAlign w:val="center"/>
          </w:tcPr>
          <w:p w:rsidR="00E44E93" w:rsidRPr="00EB7CCB" w:rsidRDefault="00E44E93" w:rsidP="003A20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2F3FE5">
              <w:rPr>
                <w:rFonts w:ascii="Arial" w:hAnsi="Arial"/>
                <w:bCs/>
                <w:sz w:val="18"/>
                <w:szCs w:val="18"/>
              </w:rPr>
              <w:t xml:space="preserve">Le compte rendu de la dernière maintenance du conservateur de secours n’est pas disponible </w:t>
            </w:r>
            <w:r w:rsidRPr="002F3FE5">
              <w:rPr>
                <w:rFonts w:ascii="Arial" w:hAnsi="Arial" w:cs="Arial"/>
                <w:bCs/>
                <w:sz w:val="18"/>
                <w:szCs w:val="18"/>
              </w:rPr>
              <w:t xml:space="preserve">en opposition à la </w:t>
            </w:r>
            <w:r>
              <w:rPr>
                <w:rFonts w:ascii="Arial" w:hAnsi="Arial" w:cs="Arial"/>
                <w:sz w:val="18"/>
                <w:szCs w:val="18"/>
              </w:rPr>
              <w:t>décision</w:t>
            </w:r>
            <w:r w:rsidRPr="002F3FE5">
              <w:rPr>
                <w:rFonts w:ascii="Arial" w:hAnsi="Arial" w:cs="Arial"/>
                <w:sz w:val="18"/>
                <w:szCs w:val="18"/>
              </w:rPr>
              <w:t xml:space="preserve"> du 10 Juillet 2018 définissant les principes de bonnes pratiques prévus à l’article L.1222.12 du code de santé publique</w:t>
            </w:r>
            <w:r w:rsidRPr="002F3FE5">
              <w:rPr>
                <w:rFonts w:ascii="Arial" w:hAnsi="Arial"/>
                <w:bCs/>
                <w:sz w:val="18"/>
                <w:szCs w:val="18"/>
              </w:rPr>
              <w:t>.</w:t>
            </w:r>
          </w:p>
        </w:tc>
        <w:tc>
          <w:tcPr>
            <w:tcW w:w="4394" w:type="dxa"/>
            <w:shd w:val="clear" w:color="auto" w:fill="auto"/>
            <w:vAlign w:val="center"/>
          </w:tcPr>
          <w:p w:rsidR="00E44E93" w:rsidRPr="002F3FE5" w:rsidRDefault="00E44E93" w:rsidP="002F3FE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sz w:val="18"/>
                <w:szCs w:val="18"/>
              </w:rPr>
              <w:t>La maintenance est nécessaire elle peut être réalisée par un prestataire</w:t>
            </w:r>
            <w:r>
              <w:rPr>
                <w:rFonts w:ascii="Arial" w:hAnsi="Arial" w:cs="Arial"/>
                <w:sz w:val="18"/>
                <w:szCs w:val="18"/>
              </w:rPr>
              <w:t xml:space="preserve"> ou le service biomédical</w:t>
            </w:r>
            <w:r w:rsidRPr="002F3FE5">
              <w:rPr>
                <w:rFonts w:ascii="Arial" w:hAnsi="Arial" w:cs="Arial"/>
                <w:sz w:val="18"/>
                <w:szCs w:val="18"/>
              </w:rPr>
              <w:t xml:space="preserve"> de l’établissement.</w:t>
            </w:r>
          </w:p>
          <w:p w:rsidR="00E44E93" w:rsidRPr="002F3FE5" w:rsidRDefault="00E44E93" w:rsidP="002F3FE5">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sz w:val="18"/>
                <w:szCs w:val="18"/>
              </w:rPr>
              <w:t>Avoir le listing précis de ce qui est vérifié</w:t>
            </w:r>
          </w:p>
          <w:p w:rsidR="00E44E93" w:rsidRPr="002F3FE5" w:rsidRDefault="00E44E93" w:rsidP="002F3FE5">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sz w:val="18"/>
                <w:szCs w:val="18"/>
              </w:rPr>
              <w:t xml:space="preserve">Connaitre avec précision ce qui </w:t>
            </w:r>
            <w:proofErr w:type="spellStart"/>
            <w:r w:rsidRPr="002F3FE5">
              <w:rPr>
                <w:rFonts w:ascii="Arial" w:hAnsi="Arial" w:cs="Arial"/>
                <w:sz w:val="18"/>
                <w:szCs w:val="18"/>
              </w:rPr>
              <w:t>st</w:t>
            </w:r>
            <w:proofErr w:type="spellEnd"/>
            <w:r w:rsidRPr="002F3FE5">
              <w:rPr>
                <w:rFonts w:ascii="Arial" w:hAnsi="Arial" w:cs="Arial"/>
                <w:sz w:val="18"/>
                <w:szCs w:val="18"/>
              </w:rPr>
              <w:t xml:space="preserve"> fait au niveau du contrôle des alarmes</w:t>
            </w:r>
          </w:p>
          <w:p w:rsidR="00E44E93" w:rsidRPr="002F3FE5" w:rsidRDefault="00E44E93" w:rsidP="002F3FE5">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sz w:val="18"/>
                <w:szCs w:val="18"/>
              </w:rPr>
              <w:t>Obtenir les comptes rendus de maintenance</w:t>
            </w:r>
          </w:p>
          <w:p w:rsidR="00E44E93" w:rsidRPr="002F3FE5" w:rsidRDefault="00E44E93" w:rsidP="002F3FE5">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sz w:val="18"/>
                <w:szCs w:val="18"/>
              </w:rPr>
              <w:t>Signer les CR de maintenance pour attester de leur lecture</w:t>
            </w:r>
          </w:p>
          <w:p w:rsidR="00E44E93" w:rsidRDefault="00E44E93" w:rsidP="002F3FE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F3FE5">
              <w:rPr>
                <w:rFonts w:ascii="Arial" w:hAnsi="Arial" w:cs="Arial"/>
                <w:sz w:val="18"/>
                <w:szCs w:val="18"/>
              </w:rPr>
              <w:t>Il est possible de déléguer la gestion des CR au service biomédical mais ce dernier doit pouvoir les fournir</w:t>
            </w:r>
            <w:r>
              <w:rPr>
                <w:rFonts w:ascii="Arial" w:hAnsi="Arial" w:cs="Arial"/>
                <w:sz w:val="18"/>
                <w:szCs w:val="18"/>
              </w:rPr>
              <w:t>.</w:t>
            </w:r>
          </w:p>
        </w:tc>
        <w:tc>
          <w:tcPr>
            <w:tcW w:w="1076" w:type="dxa"/>
            <w:shd w:val="clear" w:color="auto" w:fill="auto"/>
            <w:textDirection w:val="btLr"/>
            <w:vAlign w:val="center"/>
          </w:tcPr>
          <w:p w:rsidR="00E44E93" w:rsidRPr="002F3FE5"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9675A5" w:rsidRDefault="00E44E93" w:rsidP="003A20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L’enceinte de conservation principale des concentrés globulaires est qualifiée pour de mauvaise spécifications (2°c à 8°c au lieu de 2°c à 6°c) </w:t>
            </w:r>
            <w:r w:rsidRPr="002F3FE5">
              <w:rPr>
                <w:rFonts w:ascii="Arial" w:hAnsi="Arial" w:cs="Arial"/>
                <w:bCs/>
                <w:sz w:val="18"/>
                <w:szCs w:val="18"/>
              </w:rPr>
              <w:t xml:space="preserve">en opposition à la </w:t>
            </w:r>
            <w:r>
              <w:rPr>
                <w:rFonts w:ascii="Arial" w:hAnsi="Arial" w:cs="Arial"/>
                <w:sz w:val="18"/>
                <w:szCs w:val="18"/>
              </w:rPr>
              <w:t>décision</w:t>
            </w:r>
            <w:r w:rsidRPr="002F3FE5">
              <w:rPr>
                <w:rFonts w:ascii="Arial" w:hAnsi="Arial" w:cs="Arial"/>
                <w:sz w:val="18"/>
                <w:szCs w:val="18"/>
              </w:rPr>
              <w:t xml:space="preserve"> du 10 Juillet 2018 définissant les principes de bonnes pratiques prévus à l’article L.1222.12 du code de santé publique</w:t>
            </w:r>
            <w:r w:rsidRPr="002F3FE5">
              <w:rPr>
                <w:rFonts w:ascii="Arial" w:hAnsi="Arial"/>
                <w:bCs/>
                <w:sz w:val="18"/>
                <w:szCs w:val="18"/>
              </w:rPr>
              <w:t>.</w:t>
            </w:r>
          </w:p>
        </w:tc>
        <w:tc>
          <w:tcPr>
            <w:tcW w:w="4394" w:type="dxa"/>
            <w:shd w:val="clear" w:color="auto" w:fill="DDD9C3" w:themeFill="background2" w:themeFillShade="E6"/>
            <w:vAlign w:val="center"/>
          </w:tcPr>
          <w:p w:rsidR="00E44E93" w:rsidRPr="00297DE6" w:rsidRDefault="00E44E93" w:rsidP="00297D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7DE6">
              <w:rPr>
                <w:rFonts w:ascii="Arial" w:hAnsi="Arial" w:cs="Arial"/>
                <w:sz w:val="18"/>
                <w:szCs w:val="18"/>
              </w:rPr>
              <w:t>Respecter les caractéristiques de produits sanguins qui sont différ</w:t>
            </w:r>
            <w:r>
              <w:rPr>
                <w:rFonts w:ascii="Arial" w:hAnsi="Arial" w:cs="Arial"/>
                <w:sz w:val="18"/>
                <w:szCs w:val="18"/>
              </w:rPr>
              <w:t xml:space="preserve">ents des conditions imposées aux </w:t>
            </w:r>
            <w:r w:rsidRPr="00297DE6">
              <w:rPr>
                <w:rFonts w:ascii="Arial" w:hAnsi="Arial" w:cs="Arial"/>
                <w:sz w:val="18"/>
                <w:szCs w:val="18"/>
              </w:rPr>
              <w:t>laboratoires pour la conservation des réactifs</w:t>
            </w:r>
          </w:p>
        </w:tc>
        <w:tc>
          <w:tcPr>
            <w:tcW w:w="1076" w:type="dxa"/>
            <w:shd w:val="clear" w:color="auto" w:fill="DDD9C3" w:themeFill="background2" w:themeFillShade="E6"/>
            <w:textDirection w:val="btLr"/>
            <w:vAlign w:val="center"/>
          </w:tcPr>
          <w:p w:rsidR="00E44E93" w:rsidRPr="00297DE6"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9D9D9" w:themeFill="background1" w:themeFillShade="D9"/>
            <w:vAlign w:val="center"/>
          </w:tcPr>
          <w:p w:rsidR="00E44E93" w:rsidRPr="002F00C9" w:rsidRDefault="00E44E93" w:rsidP="004C6E7E">
            <w:pPr>
              <w:jc w:val="center"/>
              <w:rPr>
                <w:rFonts w:ascii="Arial" w:hAnsi="Arial" w:cs="Arial"/>
              </w:rPr>
            </w:pPr>
            <w:r>
              <w:rPr>
                <w:rFonts w:ascii="Arial" w:hAnsi="Arial" w:cs="Arial"/>
                <w:color w:val="auto"/>
              </w:rPr>
              <w:t>R</w:t>
            </w:r>
          </w:p>
        </w:tc>
        <w:tc>
          <w:tcPr>
            <w:tcW w:w="4678" w:type="dxa"/>
            <w:shd w:val="clear" w:color="auto" w:fill="auto"/>
            <w:vAlign w:val="center"/>
          </w:tcPr>
          <w:p w:rsidR="00E44E93" w:rsidRPr="002F00C9" w:rsidRDefault="00E44E93" w:rsidP="003A20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00C9">
              <w:rPr>
                <w:rFonts w:ascii="Arial" w:hAnsi="Arial" w:cs="Arial"/>
                <w:bCs/>
                <w:sz w:val="18"/>
                <w:szCs w:val="18"/>
              </w:rPr>
              <w:t>Le dépôt ne teste pas les niveaux bas des alarmes sur les réfrigérateurs.</w:t>
            </w:r>
          </w:p>
        </w:tc>
        <w:tc>
          <w:tcPr>
            <w:tcW w:w="4394" w:type="dxa"/>
            <w:shd w:val="clear" w:color="auto" w:fill="auto"/>
            <w:vAlign w:val="center"/>
          </w:tcPr>
          <w:p w:rsidR="00E44E93" w:rsidRPr="00297DE6" w:rsidRDefault="00E44E93" w:rsidP="00297D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 rapprocher du service technique pour analyser les possibilités au niveau des enceintes du dépôt</w:t>
            </w:r>
          </w:p>
        </w:tc>
        <w:tc>
          <w:tcPr>
            <w:tcW w:w="1076" w:type="dxa"/>
            <w:shd w:val="clear" w:color="auto" w:fill="auto"/>
            <w:textDirection w:val="btLr"/>
            <w:vAlign w:val="center"/>
          </w:tcPr>
          <w:p w:rsidR="00E44E93"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DDD9C3" w:themeFill="background2" w:themeFillShade="E6"/>
            <w:vAlign w:val="center"/>
          </w:tcPr>
          <w:p w:rsidR="00E44E93" w:rsidRPr="005406DF" w:rsidRDefault="00E44E93"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5406DF">
              <w:rPr>
                <w:rFonts w:ascii="Arial" w:hAnsi="Arial" w:cs="Arial"/>
                <w:bCs/>
                <w:sz w:val="18"/>
                <w:szCs w:val="18"/>
              </w:rPr>
              <w:t>Les délégations de la maintenance du matériel au service technique et la gestion de l’informatique du dépôt par le service informatique de l’établissement doivent être formalisées. Ces délégations précisent les missions qui reviennent au dépôt ou aux autres services.</w:t>
            </w:r>
          </w:p>
        </w:tc>
        <w:tc>
          <w:tcPr>
            <w:tcW w:w="4394" w:type="dxa"/>
            <w:shd w:val="clear" w:color="auto" w:fill="DDD9C3" w:themeFill="background2" w:themeFillShade="E6"/>
            <w:vAlign w:val="center"/>
          </w:tcPr>
          <w:p w:rsidR="00E44E93" w:rsidRPr="005406DF" w:rsidRDefault="00E44E93"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06DF">
              <w:rPr>
                <w:rFonts w:ascii="Arial" w:hAnsi="Arial" w:cs="Arial"/>
                <w:sz w:val="18"/>
                <w:szCs w:val="18"/>
              </w:rPr>
              <w:t>Même au sein d’une même structure, il est préférable de bien formaliser ce que chacun doit faire</w:t>
            </w:r>
            <w:r>
              <w:rPr>
                <w:rFonts w:ascii="Arial" w:hAnsi="Arial" w:cs="Arial"/>
                <w:sz w:val="18"/>
                <w:szCs w:val="18"/>
              </w:rPr>
              <w:t xml:space="preserve"> et comment les diverses données sont réparties et disponibles.</w:t>
            </w:r>
          </w:p>
        </w:tc>
        <w:tc>
          <w:tcPr>
            <w:tcW w:w="1076" w:type="dxa"/>
            <w:shd w:val="clear" w:color="auto" w:fill="DDD9C3" w:themeFill="background2" w:themeFillShade="E6"/>
            <w:textDirection w:val="btLr"/>
            <w:vAlign w:val="center"/>
          </w:tcPr>
          <w:p w:rsidR="00E44E93" w:rsidRPr="005406DF"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auto"/>
            <w:vAlign w:val="center"/>
          </w:tcPr>
          <w:p w:rsidR="00E44E93" w:rsidRPr="00CA28A4" w:rsidRDefault="00E44E93" w:rsidP="00CA28A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Il n’existe pas, au niveau du dépôt, de conduite à tenir permettant de contacter l’EFS en cas de panne du réseau téléphonique entrainant une indisponibilité du FAX au niveau EFS.</w:t>
            </w:r>
          </w:p>
        </w:tc>
        <w:tc>
          <w:tcPr>
            <w:tcW w:w="4394" w:type="dxa"/>
            <w:shd w:val="clear" w:color="auto" w:fill="auto"/>
            <w:vAlign w:val="center"/>
          </w:tcPr>
          <w:p w:rsidR="00E44E93" w:rsidRPr="00B81E78" w:rsidRDefault="00E44E93" w:rsidP="00B81E78">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 xml:space="preserve">A prévoir. Une panne de réseau téléphonique bloque toute utilisation du fax pour communiquer avec EFS. </w:t>
            </w:r>
          </w:p>
          <w:p w:rsidR="00E44E93" w:rsidRPr="00B81E78" w:rsidRDefault="00E44E93" w:rsidP="00B81E78">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A envisager avec EFS</w:t>
            </w:r>
          </w:p>
        </w:tc>
        <w:tc>
          <w:tcPr>
            <w:tcW w:w="1076" w:type="dxa"/>
            <w:shd w:val="clear" w:color="auto" w:fill="auto"/>
            <w:textDirection w:val="btLr"/>
            <w:vAlign w:val="center"/>
          </w:tcPr>
          <w:p w:rsidR="00E44E93" w:rsidRPr="00B81E78" w:rsidRDefault="00E44E93" w:rsidP="00B81E78">
            <w:pPr>
              <w:ind w:left="360" w:right="11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Matériel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9A0DF1">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5D0089"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EB168F">
              <w:rPr>
                <w:rFonts w:ascii="Arial" w:hAnsi="Arial" w:cs="Arial"/>
                <w:bCs/>
                <w:sz w:val="18"/>
                <w:szCs w:val="18"/>
              </w:rPr>
              <w:t xml:space="preserve">Le dépôt de délivrance n’assure pas un suivi exhaustif de l’habilitation des personnes </w:t>
            </w:r>
            <w:r w:rsidRPr="00EB168F">
              <w:rPr>
                <w:rFonts w:ascii="Arial" w:hAnsi="Arial" w:cs="Arial"/>
                <w:sz w:val="18"/>
                <w:szCs w:val="18"/>
              </w:rPr>
              <w:t>en non-conformité avec l’a</w:t>
            </w:r>
            <w:r w:rsidRPr="00EB168F">
              <w:rPr>
                <w:rStyle w:val="lev"/>
                <w:rFonts w:ascii="Arial" w:hAnsi="Arial" w:cs="Arial"/>
                <w:b w:val="0"/>
                <w:sz w:val="18"/>
                <w:szCs w:val="18"/>
              </w:rPr>
              <w:t xml:space="preserve">rrêté du </w:t>
            </w:r>
            <w:r w:rsidRPr="005D0089">
              <w:rPr>
                <w:rStyle w:val="lev"/>
                <w:rFonts w:ascii="Arial" w:hAnsi="Arial" w:cs="Arial"/>
                <w:b w:val="0"/>
                <w:sz w:val="18"/>
                <w:szCs w:val="18"/>
              </w:rPr>
              <w:t>3 décembre 2007 relatif aux qualifications de certains personnels des dépôts de sang</w:t>
            </w:r>
            <w:r w:rsidRPr="00EB168F">
              <w:rPr>
                <w:rStyle w:val="lev"/>
                <w:rFonts w:ascii="Arial" w:hAnsi="Arial" w:cs="Arial"/>
                <w:b w:val="0"/>
                <w:sz w:val="18"/>
                <w:szCs w:val="18"/>
              </w:rPr>
              <w:t>.</w:t>
            </w:r>
          </w:p>
        </w:tc>
        <w:tc>
          <w:tcPr>
            <w:tcW w:w="4394" w:type="dxa"/>
            <w:shd w:val="clear" w:color="auto" w:fill="auto"/>
            <w:vAlign w:val="center"/>
          </w:tcPr>
          <w:p w:rsidR="00E44E93" w:rsidRPr="00900BDF" w:rsidRDefault="00E44E93" w:rsidP="009A0DF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Mettre en place une solution simple d’habilitation</w:t>
            </w:r>
            <w:r>
              <w:rPr>
                <w:rFonts w:ascii="Arial" w:hAnsi="Arial" w:cs="Arial"/>
                <w:sz w:val="18"/>
                <w:szCs w:val="18"/>
              </w:rPr>
              <w:t xml:space="preserve"> et de suivi</w:t>
            </w:r>
            <w:r w:rsidRPr="00900BDF">
              <w:rPr>
                <w:rFonts w:ascii="Arial" w:hAnsi="Arial" w:cs="Arial"/>
                <w:sz w:val="18"/>
                <w:szCs w:val="18"/>
              </w:rPr>
              <w:t xml:space="preserve"> avec </w:t>
            </w:r>
            <w:r>
              <w:rPr>
                <w:rFonts w:ascii="Arial" w:hAnsi="Arial" w:cs="Arial"/>
                <w:sz w:val="18"/>
                <w:szCs w:val="18"/>
              </w:rPr>
              <w:t>des</w:t>
            </w:r>
            <w:r w:rsidRPr="00900BDF">
              <w:rPr>
                <w:rFonts w:ascii="Arial" w:hAnsi="Arial" w:cs="Arial"/>
                <w:sz w:val="18"/>
                <w:szCs w:val="18"/>
              </w:rPr>
              <w:t xml:space="preserve"> quiz, un tutorat … </w:t>
            </w:r>
          </w:p>
          <w:p w:rsidR="00E44E93" w:rsidRPr="00900BDF" w:rsidRDefault="00E44E93" w:rsidP="009A0DF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Assurer que toutes les personnes concernées ont été habilitées. Mettre la date d’habilitation initiale sur la liste des personnes habilitées et les dates de suivi</w:t>
            </w:r>
            <w:r>
              <w:rPr>
                <w:rFonts w:ascii="Arial" w:hAnsi="Arial" w:cs="Arial"/>
                <w:sz w:val="18"/>
                <w:szCs w:val="18"/>
              </w:rPr>
              <w:t>.</w:t>
            </w:r>
          </w:p>
        </w:tc>
        <w:tc>
          <w:tcPr>
            <w:tcW w:w="1076" w:type="dxa"/>
            <w:shd w:val="clear" w:color="auto" w:fill="auto"/>
            <w:textDirection w:val="btLr"/>
            <w:vAlign w:val="center"/>
          </w:tcPr>
          <w:p w:rsidR="00E44E93" w:rsidRPr="00B32A2C" w:rsidRDefault="00E44E93" w:rsidP="009A0DF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9A0DF1">
            <w:pPr>
              <w:jc w:val="center"/>
              <w:rPr>
                <w:rFonts w:ascii="Arial" w:hAnsi="Arial" w:cs="Arial"/>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383D01"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83D01">
              <w:rPr>
                <w:rFonts w:ascii="Arial" w:hAnsi="Arial" w:cs="Arial"/>
                <w:bCs/>
                <w:sz w:val="18"/>
                <w:szCs w:val="18"/>
              </w:rPr>
              <w:t xml:space="preserve">La formation continue n’est pas formalisée pour le personnel intervenant dans le dépôt de délivrance </w:t>
            </w:r>
            <w:r w:rsidRPr="00EB168F">
              <w:rPr>
                <w:rFonts w:ascii="Arial" w:hAnsi="Arial" w:cs="Arial"/>
                <w:sz w:val="18"/>
                <w:szCs w:val="18"/>
              </w:rPr>
              <w:t>en non-conformité avec l’a</w:t>
            </w:r>
            <w:r w:rsidRPr="00EB168F">
              <w:rPr>
                <w:rStyle w:val="lev"/>
                <w:rFonts w:ascii="Arial" w:hAnsi="Arial" w:cs="Arial"/>
                <w:b w:val="0"/>
                <w:sz w:val="18"/>
                <w:szCs w:val="18"/>
              </w:rPr>
              <w:t xml:space="preserve">rrêté du </w:t>
            </w:r>
            <w:r w:rsidRPr="005D0089">
              <w:rPr>
                <w:rStyle w:val="lev"/>
                <w:rFonts w:ascii="Arial" w:hAnsi="Arial" w:cs="Arial"/>
                <w:b w:val="0"/>
                <w:sz w:val="18"/>
                <w:szCs w:val="18"/>
              </w:rPr>
              <w:t>3 décembre 2007 relatif aux qualifications de certains personnels des dépôts de sang</w:t>
            </w:r>
            <w:r w:rsidRPr="00EB168F">
              <w:rPr>
                <w:rStyle w:val="lev"/>
                <w:rFonts w:ascii="Arial" w:hAnsi="Arial" w:cs="Arial"/>
                <w:b w:val="0"/>
                <w:sz w:val="18"/>
                <w:szCs w:val="18"/>
              </w:rPr>
              <w:t>.</w:t>
            </w:r>
          </w:p>
        </w:tc>
        <w:tc>
          <w:tcPr>
            <w:tcW w:w="4394" w:type="dxa"/>
            <w:shd w:val="clear" w:color="auto" w:fill="DDD9C3" w:themeFill="background2" w:themeFillShade="E6"/>
            <w:vAlign w:val="center"/>
          </w:tcPr>
          <w:p w:rsidR="00E44E93" w:rsidRPr="00784C33" w:rsidRDefault="00E44E93"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Prévoir un programme simple de formation continue</w:t>
            </w:r>
          </w:p>
          <w:p w:rsidR="00E44E93" w:rsidRPr="00784C33" w:rsidRDefault="00E44E93"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Etablir un plan de formation prévisionnel</w:t>
            </w:r>
          </w:p>
          <w:p w:rsidR="00E44E93" w:rsidRPr="00784C33" w:rsidRDefault="00E44E93"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Vérifier au fil du temps la réalisation du programme</w:t>
            </w:r>
          </w:p>
        </w:tc>
        <w:tc>
          <w:tcPr>
            <w:tcW w:w="1076" w:type="dxa"/>
            <w:shd w:val="clear" w:color="auto" w:fill="DDD9C3" w:themeFill="background2" w:themeFillShade="E6"/>
            <w:textDirection w:val="btLr"/>
            <w:vAlign w:val="center"/>
          </w:tcPr>
          <w:p w:rsidR="00E44E93" w:rsidRPr="00784C33" w:rsidRDefault="00E44E93" w:rsidP="009A0DF1">
            <w:pPr>
              <w:pStyle w:val="Paragraphedeliste"/>
              <w:ind w:left="473" w:right="11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5D0089" w:rsidRDefault="00E44E93" w:rsidP="003A20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D602E4">
              <w:rPr>
                <w:rFonts w:ascii="Arial" w:hAnsi="Arial" w:cs="Arial"/>
                <w:bCs/>
                <w:sz w:val="18"/>
                <w:szCs w:val="18"/>
              </w:rPr>
              <w:t xml:space="preserve">Parmi le personnel du dépôt, </w:t>
            </w:r>
            <w:r>
              <w:rPr>
                <w:rFonts w:ascii="Arial" w:hAnsi="Arial" w:cs="Arial"/>
                <w:bCs/>
                <w:sz w:val="18"/>
                <w:szCs w:val="18"/>
              </w:rPr>
              <w:t xml:space="preserve">il n’existe pas de </w:t>
            </w:r>
            <w:r w:rsidRPr="00D602E4">
              <w:rPr>
                <w:rFonts w:ascii="Arial" w:hAnsi="Arial" w:cs="Arial"/>
                <w:bCs/>
                <w:sz w:val="18"/>
                <w:szCs w:val="18"/>
              </w:rPr>
              <w:t>p</w:t>
            </w:r>
            <w:r>
              <w:rPr>
                <w:rFonts w:ascii="Arial" w:hAnsi="Arial" w:cs="Arial"/>
                <w:bCs/>
                <w:sz w:val="18"/>
                <w:szCs w:val="18"/>
              </w:rPr>
              <w:t xml:space="preserve">ersonne </w:t>
            </w:r>
            <w:r w:rsidRPr="00D602E4">
              <w:rPr>
                <w:rFonts w:ascii="Arial" w:hAnsi="Arial" w:cs="Arial"/>
                <w:bCs/>
                <w:sz w:val="18"/>
                <w:szCs w:val="18"/>
              </w:rPr>
              <w:t xml:space="preserve">identifiée pour suivre spécifiquement la qualité des transports (colisage, délais, prestataire, transports locaux…) </w:t>
            </w:r>
            <w:r w:rsidRPr="00D602E4">
              <w:rPr>
                <w:rFonts w:ascii="Arial" w:hAnsi="Arial" w:cs="Arial"/>
                <w:sz w:val="18"/>
                <w:szCs w:val="18"/>
              </w:rPr>
              <w:t>en non-conformité</w:t>
            </w:r>
            <w:r w:rsidRPr="00D602E4">
              <w:rPr>
                <w:rStyle w:val="lev"/>
                <w:rFonts w:ascii="Arial" w:hAnsi="Arial" w:cs="Arial"/>
                <w:sz w:val="18"/>
                <w:szCs w:val="18"/>
              </w:rPr>
              <w:t xml:space="preserve"> </w:t>
            </w:r>
            <w:r w:rsidRPr="00D602E4">
              <w:rPr>
                <w:rStyle w:val="lev"/>
                <w:rFonts w:ascii="Arial" w:hAnsi="Arial" w:cs="Arial"/>
                <w:b w:val="0"/>
                <w:sz w:val="18"/>
                <w:szCs w:val="18"/>
              </w:rPr>
              <w:t xml:space="preserve">avec la </w:t>
            </w:r>
            <w:r>
              <w:rPr>
                <w:rStyle w:val="lev"/>
                <w:rFonts w:ascii="Arial" w:hAnsi="Arial" w:cs="Arial"/>
                <w:b w:val="0"/>
                <w:sz w:val="18"/>
                <w:szCs w:val="18"/>
              </w:rPr>
              <w:t>décision</w:t>
            </w:r>
            <w:r w:rsidRPr="00D602E4">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900BDF" w:rsidRDefault="00E44E93" w:rsidP="00900BDF">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 xml:space="preserve">Ajouter les missions décrites au chapitre des bonnes pratiques (voir à côté) à une des fiches de fonctions existante: responsable ou gestionnaire, dans un chapitre transport par exemple </w:t>
            </w:r>
          </w:p>
          <w:p w:rsidR="00E44E93" w:rsidRPr="00900BDF" w:rsidRDefault="00E44E93" w:rsidP="00900BDF">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ou le définir pour une autre personne en lui donnant une fiche de fonction spécifique.</w:t>
            </w:r>
          </w:p>
        </w:tc>
        <w:tc>
          <w:tcPr>
            <w:tcW w:w="1076" w:type="dxa"/>
            <w:shd w:val="clear" w:color="auto" w:fill="auto"/>
            <w:textDirection w:val="btLr"/>
            <w:vAlign w:val="center"/>
          </w:tcPr>
          <w:p w:rsidR="00E44E93" w:rsidRPr="00900BDF" w:rsidRDefault="00E44E93" w:rsidP="00B32A2C">
            <w:pPr>
              <w:pStyle w:val="Paragraphedeliste"/>
              <w:ind w:left="360"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DDD9C3" w:themeFill="background2" w:themeFillShade="E6"/>
            <w:vAlign w:val="center"/>
          </w:tcPr>
          <w:p w:rsidR="00E44E93" w:rsidRPr="00CA28A4" w:rsidRDefault="00E44E93" w:rsidP="00CA28A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Le dépôt ne peut pas prouver que toutes les personnes concernées ont été habilitées pour leurs missions au sein du dépôt d’urgence vitale</w:t>
            </w:r>
          </w:p>
        </w:tc>
        <w:tc>
          <w:tcPr>
            <w:tcW w:w="4394" w:type="dxa"/>
            <w:shd w:val="clear" w:color="auto" w:fill="DDD9C3" w:themeFill="background2" w:themeFillShade="E6"/>
            <w:vAlign w:val="center"/>
          </w:tcPr>
          <w:p w:rsidR="00E44E93" w:rsidRPr="00C76B7E" w:rsidRDefault="00E44E93" w:rsidP="00C76B7E">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76B7E">
              <w:rPr>
                <w:rFonts w:ascii="Arial" w:hAnsi="Arial" w:cs="Arial"/>
                <w:sz w:val="18"/>
                <w:szCs w:val="18"/>
              </w:rPr>
              <w:t xml:space="preserve">Mettre en place une solution simple d’habilitation et de suivi avec des quiz, un tutorat … </w:t>
            </w:r>
          </w:p>
          <w:p w:rsidR="00E44E93" w:rsidRPr="00C76B7E" w:rsidRDefault="00E44E93" w:rsidP="00C76B7E">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76B7E">
              <w:rPr>
                <w:rFonts w:ascii="Arial" w:hAnsi="Arial" w:cs="Arial"/>
                <w:sz w:val="18"/>
                <w:szCs w:val="18"/>
              </w:rPr>
              <w:t>Assurer que toutes les personnes concernées ont été habilitées. Mettre la date d’habilitation initiale sur la liste des personnes habilitées et les dates de suivi.</w:t>
            </w:r>
          </w:p>
        </w:tc>
        <w:tc>
          <w:tcPr>
            <w:tcW w:w="1076" w:type="dxa"/>
            <w:shd w:val="clear" w:color="auto" w:fill="DDD9C3" w:themeFill="background2" w:themeFillShade="E6"/>
            <w:textDirection w:val="btLr"/>
            <w:vAlign w:val="center"/>
          </w:tcPr>
          <w:p w:rsidR="00E44E93" w:rsidRPr="00AF6173" w:rsidRDefault="00E44E93"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F6173">
              <w:rPr>
                <w:rFonts w:ascii="Arial" w:hAnsi="Arial" w:cs="Arial"/>
                <w:sz w:val="18"/>
                <w:szCs w:val="18"/>
              </w:rPr>
              <w:t>Personnel</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64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lastRenderedPageBreak/>
              <w:t>R</w:t>
            </w:r>
          </w:p>
        </w:tc>
        <w:tc>
          <w:tcPr>
            <w:tcW w:w="4678" w:type="dxa"/>
            <w:shd w:val="clear" w:color="auto" w:fill="auto"/>
            <w:vAlign w:val="center"/>
          </w:tcPr>
          <w:p w:rsidR="00E44E93" w:rsidRPr="00CA28A4" w:rsidRDefault="00E44E93" w:rsidP="00CA28A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Le dépôt n’a pas formalisé la méthode et la programmation du suivi des habilitations pour les personnes concer</w:t>
            </w:r>
            <w:r>
              <w:rPr>
                <w:rFonts w:ascii="Arial" w:hAnsi="Arial" w:cs="Arial"/>
                <w:bCs/>
                <w:sz w:val="18"/>
                <w:szCs w:val="18"/>
              </w:rPr>
              <w:t xml:space="preserve">nées par l’utilisation du dépôt </w:t>
            </w:r>
            <w:r w:rsidRPr="00CA28A4">
              <w:rPr>
                <w:rFonts w:ascii="Arial" w:hAnsi="Arial" w:cs="Arial"/>
                <w:bCs/>
                <w:sz w:val="18"/>
                <w:szCs w:val="18"/>
              </w:rPr>
              <w:t>d’urgence vitale</w:t>
            </w:r>
          </w:p>
        </w:tc>
        <w:tc>
          <w:tcPr>
            <w:tcW w:w="4394" w:type="dxa"/>
            <w:shd w:val="clear" w:color="auto" w:fill="auto"/>
            <w:vAlign w:val="center"/>
          </w:tcPr>
          <w:p w:rsidR="00E44E93" w:rsidRPr="00C76B7E" w:rsidRDefault="00E44E93" w:rsidP="00C76B7E">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76B7E">
              <w:rPr>
                <w:rFonts w:ascii="Arial" w:hAnsi="Arial" w:cs="Arial"/>
                <w:sz w:val="18"/>
                <w:szCs w:val="18"/>
              </w:rPr>
              <w:t xml:space="preserve">Mettre en place une solution simple d’habilitation et de suivi avec des quiz, un tutorat … </w:t>
            </w:r>
          </w:p>
          <w:p w:rsidR="00E44E93" w:rsidRPr="00C76B7E" w:rsidRDefault="00E44E93" w:rsidP="00C76B7E">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76B7E">
              <w:rPr>
                <w:rFonts w:ascii="Arial" w:hAnsi="Arial" w:cs="Arial"/>
                <w:sz w:val="18"/>
                <w:szCs w:val="18"/>
              </w:rPr>
              <w:t>Assurer que toutes les personnes concernées ont été habilitées. Mettre la date d’habilitation initiale sur la liste des personnes habilitées et les dates de suivi.</w:t>
            </w:r>
          </w:p>
        </w:tc>
        <w:tc>
          <w:tcPr>
            <w:tcW w:w="1076" w:type="dxa"/>
            <w:shd w:val="clear" w:color="auto" w:fill="auto"/>
            <w:textDirection w:val="btLr"/>
            <w:vAlign w:val="center"/>
          </w:tcPr>
          <w:p w:rsidR="00E44E93" w:rsidRPr="00AF617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DD9C3" w:themeFill="background2" w:themeFillShade="E6"/>
            <w:vAlign w:val="center"/>
          </w:tcPr>
          <w:p w:rsidR="00E44E93" w:rsidRPr="00B537A6" w:rsidRDefault="00E44E93" w:rsidP="004C6E7E">
            <w:pPr>
              <w:jc w:val="center"/>
              <w:rPr>
                <w:rFonts w:ascii="Arial" w:hAnsi="Arial" w:cs="Arial"/>
              </w:rPr>
            </w:pPr>
            <w:r w:rsidRPr="00B537A6">
              <w:rPr>
                <w:rFonts w:ascii="Arial" w:hAnsi="Arial" w:cs="Arial"/>
                <w:color w:val="auto"/>
              </w:rPr>
              <w:t>E</w:t>
            </w:r>
          </w:p>
        </w:tc>
        <w:tc>
          <w:tcPr>
            <w:tcW w:w="4678" w:type="dxa"/>
            <w:shd w:val="clear" w:color="auto" w:fill="DDD9C3" w:themeFill="background2" w:themeFillShade="E6"/>
            <w:vAlign w:val="center"/>
          </w:tcPr>
          <w:p w:rsidR="00E44E93" w:rsidRPr="00B537A6" w:rsidRDefault="00E44E93" w:rsidP="00B537A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B537A6">
              <w:rPr>
                <w:rFonts w:ascii="Arial" w:hAnsi="Arial" w:cs="Arial"/>
                <w:bCs/>
                <w:sz w:val="18"/>
                <w:szCs w:val="18"/>
              </w:rPr>
              <w:t>Il n’existe pas dans le fonctionnement du dépôt un processus de vérification de la date de péremption des divers consommables</w:t>
            </w:r>
            <w:r>
              <w:rPr>
                <w:rFonts w:ascii="Arial" w:hAnsi="Arial" w:cs="Arial"/>
                <w:bCs/>
                <w:sz w:val="18"/>
                <w:szCs w:val="18"/>
              </w:rPr>
              <w:t xml:space="preserve"> </w:t>
            </w:r>
            <w:r w:rsidRPr="00D602E4">
              <w:rPr>
                <w:rFonts w:ascii="Arial" w:hAnsi="Arial" w:cs="Arial"/>
                <w:sz w:val="18"/>
                <w:szCs w:val="18"/>
              </w:rPr>
              <w:t>en non-conformité</w:t>
            </w:r>
            <w:r w:rsidRPr="00D602E4">
              <w:rPr>
                <w:rStyle w:val="lev"/>
                <w:rFonts w:ascii="Arial" w:hAnsi="Arial" w:cs="Arial"/>
                <w:sz w:val="18"/>
                <w:szCs w:val="18"/>
              </w:rPr>
              <w:t xml:space="preserve"> </w:t>
            </w:r>
            <w:r w:rsidRPr="00D602E4">
              <w:rPr>
                <w:rStyle w:val="lev"/>
                <w:rFonts w:ascii="Arial" w:hAnsi="Arial" w:cs="Arial"/>
                <w:b w:val="0"/>
                <w:sz w:val="18"/>
                <w:szCs w:val="18"/>
              </w:rPr>
              <w:t xml:space="preserve">avec la </w:t>
            </w:r>
            <w:r>
              <w:rPr>
                <w:rStyle w:val="lev"/>
                <w:rFonts w:ascii="Arial" w:hAnsi="Arial" w:cs="Arial"/>
                <w:b w:val="0"/>
                <w:sz w:val="18"/>
                <w:szCs w:val="18"/>
              </w:rPr>
              <w:t>décision</w:t>
            </w:r>
            <w:r w:rsidRPr="00D602E4">
              <w:rPr>
                <w:rFonts w:ascii="Arial" w:hAnsi="Arial" w:cs="Arial"/>
                <w:sz w:val="18"/>
                <w:szCs w:val="18"/>
              </w:rPr>
              <w:t xml:space="preserve"> du 10 Juillet 2018 définissant les principes de bonnes pratiques prévus à l’article L.1222.12 du code de santé publique.</w:t>
            </w:r>
          </w:p>
          <w:p w:rsidR="00E44E93" w:rsidRPr="00CA28A4" w:rsidRDefault="00E44E93" w:rsidP="00CA28A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4394" w:type="dxa"/>
            <w:shd w:val="clear" w:color="auto" w:fill="DDD9C3" w:themeFill="background2" w:themeFillShade="E6"/>
            <w:vAlign w:val="center"/>
          </w:tcPr>
          <w:p w:rsidR="00E44E93" w:rsidRPr="00B81E78" w:rsidRDefault="00E44E93" w:rsidP="00B81E78">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Etablir un document précisant les modalités de stockage conforme aux préconisations du fabricant et la méthode de suivi des dates de péremption</w:t>
            </w:r>
          </w:p>
        </w:tc>
        <w:tc>
          <w:tcPr>
            <w:tcW w:w="1076" w:type="dxa"/>
            <w:shd w:val="clear" w:color="auto" w:fill="DDD9C3" w:themeFill="background2" w:themeFillShade="E6"/>
            <w:textDirection w:val="btLr"/>
            <w:vAlign w:val="center"/>
          </w:tcPr>
          <w:p w:rsidR="00E44E93" w:rsidRPr="00B81E78" w:rsidRDefault="00E44E93" w:rsidP="00B81E78">
            <w:pPr>
              <w:ind w:left="360" w:right="11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Stockage</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9675A5"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75A5">
              <w:rPr>
                <w:rFonts w:ascii="Arial" w:hAnsi="Arial" w:cs="Arial"/>
                <w:sz w:val="18"/>
                <w:szCs w:val="18"/>
              </w:rPr>
              <w:t>le personnel du dépôt ne réalise pas de contrôle formalisé et régulier des véhicules et de la prestation de son transporteur.</w:t>
            </w:r>
            <w:r w:rsidRPr="009675A5">
              <w:rPr>
                <w:rFonts w:ascii="Arial" w:hAnsi="Arial" w:cs="Arial"/>
                <w:bCs/>
                <w:sz w:val="18"/>
                <w:szCs w:val="18"/>
              </w:rPr>
              <w:t xml:space="preserve"> en opposition à la </w:t>
            </w:r>
            <w:r>
              <w:rPr>
                <w:rFonts w:ascii="Arial" w:hAnsi="Arial" w:cs="Arial"/>
                <w:sz w:val="18"/>
                <w:szCs w:val="18"/>
              </w:rPr>
              <w:t>Décision</w:t>
            </w:r>
            <w:r w:rsidRPr="009675A5">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9675A5" w:rsidRDefault="00E44E93" w:rsidP="009675A5">
            <w:pPr>
              <w:pStyle w:val="Paragraphedeliste"/>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sz w:val="18"/>
                <w:szCs w:val="18"/>
              </w:rPr>
              <w:t>Prévoir une grille d’audit du transport à réaliser sur les transports réalisés par l’établissement et également par le prestataire.</w:t>
            </w:r>
          </w:p>
          <w:p w:rsidR="00E44E93" w:rsidRPr="009675A5" w:rsidRDefault="00E44E93" w:rsidP="009675A5">
            <w:pPr>
              <w:pStyle w:val="Paragraphedeliste"/>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sz w:val="18"/>
                <w:szCs w:val="18"/>
              </w:rPr>
              <w:t>La convention avec le prestataire précise qu’il doit accepter les audits de la part du personnel du dépôt</w:t>
            </w:r>
          </w:p>
        </w:tc>
        <w:tc>
          <w:tcPr>
            <w:tcW w:w="1076" w:type="dxa"/>
            <w:shd w:val="clear" w:color="auto" w:fill="DDD9C3" w:themeFill="background2" w:themeFillShade="E6"/>
            <w:textDirection w:val="btLr"/>
            <w:vAlign w:val="center"/>
          </w:tcPr>
          <w:p w:rsidR="00E44E93" w:rsidRPr="009675A5" w:rsidRDefault="00E44E93" w:rsidP="00AF6173">
            <w:pPr>
              <w:pStyle w:val="Paragraphedeliste"/>
              <w:ind w:left="47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antSplit/>
          <w:trHeight w:val="232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E</w:t>
            </w:r>
          </w:p>
        </w:tc>
        <w:tc>
          <w:tcPr>
            <w:tcW w:w="4678" w:type="dxa"/>
            <w:shd w:val="clear" w:color="auto" w:fill="auto"/>
            <w:vAlign w:val="center"/>
          </w:tcPr>
          <w:p w:rsidR="00E44E93" w:rsidRPr="009675A5"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675A5">
              <w:rPr>
                <w:rFonts w:ascii="Arial" w:hAnsi="Arial" w:cs="Arial"/>
                <w:bCs/>
                <w:sz w:val="18"/>
                <w:szCs w:val="18"/>
              </w:rPr>
              <w:t xml:space="preserve">Il n’existe pas, au sein du dépôt, de document prouvant la qualification de la méthode de transport des produits sanguins qui est utilisée pour le retour des concentrés globulaires vers l’EFS en opposition à la </w:t>
            </w:r>
            <w:r>
              <w:rPr>
                <w:rFonts w:ascii="Arial" w:hAnsi="Arial" w:cs="Arial"/>
                <w:sz w:val="18"/>
                <w:szCs w:val="18"/>
              </w:rPr>
              <w:t>Décision</w:t>
            </w:r>
            <w:r w:rsidRPr="009675A5">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9675A5" w:rsidRDefault="00E44E93" w:rsidP="000C0C9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C’est celui qui envoie les produits qui est responsable de la qualité du transport. Le dépôt est donc responsable du transport lorsqu’il retourne des produits vers l’EFS dans le but d’une reprise pour réutilisation. La méthode de conditionnement doit être formalisée et validée.</w:t>
            </w:r>
          </w:p>
          <w:p w:rsidR="00E44E93" w:rsidRPr="009675A5" w:rsidRDefault="00E44E93" w:rsidP="007018EE">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Demander la qualification des modalités de conditionnement du transport et le garder dans le dépôt</w:t>
            </w:r>
          </w:p>
          <w:p w:rsidR="00E44E93" w:rsidRPr="009675A5" w:rsidRDefault="00E44E93" w:rsidP="007018EE">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Respecter la méthode</w:t>
            </w:r>
          </w:p>
        </w:tc>
        <w:tc>
          <w:tcPr>
            <w:tcW w:w="1076" w:type="dxa"/>
            <w:shd w:val="clear" w:color="auto" w:fill="auto"/>
            <w:textDirection w:val="btLr"/>
            <w:vAlign w:val="center"/>
          </w:tcPr>
          <w:p w:rsidR="00E44E93" w:rsidRPr="009675A5"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3C29B2"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018EE">
              <w:rPr>
                <w:rFonts w:ascii="Arial" w:hAnsi="Arial" w:cs="Arial"/>
                <w:sz w:val="18"/>
                <w:szCs w:val="18"/>
              </w:rPr>
              <w:t xml:space="preserve">Il n’existe pas de convention entre l’établissement de soins, et le prestataire qui assure les transports de PSL </w:t>
            </w:r>
            <w:r w:rsidRPr="007018EE">
              <w:rPr>
                <w:rFonts w:ascii="Arial" w:hAnsi="Arial" w:cs="Arial"/>
                <w:bCs/>
                <w:sz w:val="18"/>
                <w:szCs w:val="18"/>
              </w:rPr>
              <w:t xml:space="preserve">en opposition à la </w:t>
            </w:r>
            <w:r>
              <w:rPr>
                <w:rFonts w:ascii="Arial" w:hAnsi="Arial" w:cs="Arial"/>
                <w:sz w:val="18"/>
                <w:szCs w:val="18"/>
              </w:rPr>
              <w:t>Décision</w:t>
            </w:r>
            <w:r w:rsidRPr="007018EE">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7018EE" w:rsidRDefault="00E44E93" w:rsidP="007018EE">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18EE">
              <w:rPr>
                <w:rFonts w:ascii="Arial" w:hAnsi="Arial" w:cs="Arial"/>
                <w:sz w:val="18"/>
                <w:szCs w:val="18"/>
              </w:rPr>
              <w:t>Etablir une convention</w:t>
            </w:r>
          </w:p>
          <w:p w:rsidR="00E44E93" w:rsidRPr="007018EE" w:rsidRDefault="00E44E93" w:rsidP="007018EE">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18EE">
              <w:rPr>
                <w:rFonts w:ascii="Arial" w:hAnsi="Arial" w:cs="Arial"/>
                <w:sz w:val="18"/>
                <w:szCs w:val="18"/>
              </w:rPr>
              <w:t xml:space="preserve">Reprendre les items détaillés dans la </w:t>
            </w:r>
            <w:r>
              <w:rPr>
                <w:rFonts w:ascii="Arial" w:hAnsi="Arial" w:cs="Arial"/>
                <w:sz w:val="18"/>
                <w:szCs w:val="18"/>
              </w:rPr>
              <w:t>décision</w:t>
            </w:r>
            <w:r w:rsidRPr="007018EE">
              <w:rPr>
                <w:rFonts w:ascii="Arial" w:hAnsi="Arial" w:cs="Arial"/>
                <w:sz w:val="18"/>
                <w:szCs w:val="18"/>
              </w:rPr>
              <w:t xml:space="preserve"> du 10 juillet 2018</w:t>
            </w:r>
          </w:p>
        </w:tc>
        <w:tc>
          <w:tcPr>
            <w:tcW w:w="1076" w:type="dxa"/>
            <w:shd w:val="clear" w:color="auto" w:fill="DDD9C3" w:themeFill="background2" w:themeFillShade="E6"/>
            <w:textDirection w:val="btLr"/>
            <w:vAlign w:val="center"/>
          </w:tcPr>
          <w:p w:rsidR="00E44E93" w:rsidRPr="00AF617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6173">
              <w:rPr>
                <w:rFonts w:ascii="Arial" w:hAnsi="Arial" w:cs="Arial"/>
                <w:sz w:val="18"/>
                <w:szCs w:val="18"/>
              </w:rPr>
              <w:t>Transport</w:t>
            </w:r>
          </w:p>
        </w:tc>
      </w:tr>
      <w:tr w:rsidR="00E44E93" w:rsidTr="00D50AD1">
        <w:trPr>
          <w:cantSplit/>
          <w:trHeight w:val="1928"/>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3C29B2"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32478">
              <w:rPr>
                <w:rFonts w:ascii="Arial" w:hAnsi="Arial" w:cs="Arial"/>
                <w:sz w:val="18"/>
                <w:szCs w:val="18"/>
              </w:rPr>
              <w:t xml:space="preserve">Le personnel de transport de l’établissement de soins ne peut pas présenter une formation formalisée </w:t>
            </w:r>
            <w:r w:rsidRPr="00D32478">
              <w:rPr>
                <w:rFonts w:ascii="Arial" w:hAnsi="Arial" w:cs="Arial"/>
                <w:bCs/>
                <w:sz w:val="18"/>
                <w:szCs w:val="18"/>
              </w:rPr>
              <w:t xml:space="preserve">en opposition à la </w:t>
            </w:r>
            <w:r>
              <w:rPr>
                <w:rFonts w:ascii="Arial" w:hAnsi="Arial" w:cs="Arial"/>
                <w:sz w:val="18"/>
                <w:szCs w:val="18"/>
              </w:rPr>
              <w:t>décision</w:t>
            </w:r>
            <w:r w:rsidRPr="00D32478">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D32478" w:rsidRDefault="00E44E93" w:rsidP="00D32478">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2478">
              <w:rPr>
                <w:rFonts w:ascii="Arial" w:hAnsi="Arial" w:cs="Arial"/>
                <w:sz w:val="18"/>
                <w:szCs w:val="18"/>
              </w:rPr>
              <w:t xml:space="preserve">Mettre en place une formation rapide selon la </w:t>
            </w:r>
            <w:r>
              <w:rPr>
                <w:rFonts w:ascii="Arial" w:hAnsi="Arial" w:cs="Arial"/>
                <w:sz w:val="18"/>
                <w:szCs w:val="18"/>
              </w:rPr>
              <w:t>décision</w:t>
            </w:r>
            <w:r w:rsidRPr="00D32478">
              <w:rPr>
                <w:rFonts w:ascii="Arial" w:hAnsi="Arial" w:cs="Arial"/>
                <w:sz w:val="18"/>
                <w:szCs w:val="18"/>
              </w:rPr>
              <w:t xml:space="preserve"> du 10 juillet 2018</w:t>
            </w:r>
          </w:p>
          <w:p w:rsidR="00E44E93" w:rsidRPr="00D32478" w:rsidRDefault="00E44E93" w:rsidP="00D32478">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2478">
              <w:rPr>
                <w:rFonts w:ascii="Arial" w:hAnsi="Arial" w:cs="Arial"/>
                <w:sz w:val="18"/>
                <w:szCs w:val="18"/>
              </w:rPr>
              <w:t>Vérifier que tous les chauffeurs de l’établissement de soins ont eu cette formation</w:t>
            </w:r>
          </w:p>
          <w:p w:rsidR="00E44E93" w:rsidRPr="00D32478" w:rsidRDefault="00E44E93" w:rsidP="00D324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2478">
              <w:rPr>
                <w:rFonts w:ascii="Arial" w:hAnsi="Arial" w:cs="Arial"/>
                <w:sz w:val="18"/>
                <w:szCs w:val="18"/>
              </w:rPr>
              <w:t xml:space="preserve">Les chauffeurs du prestataire sont formés sous la responsabilité du prestataire. </w:t>
            </w:r>
          </w:p>
          <w:p w:rsidR="00E44E93" w:rsidRPr="00D32478" w:rsidRDefault="00E44E93" w:rsidP="00D32478">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2478">
              <w:rPr>
                <w:rFonts w:ascii="Arial" w:hAnsi="Arial" w:cs="Arial"/>
                <w:sz w:val="18"/>
                <w:szCs w:val="18"/>
              </w:rPr>
              <w:t>A vérifier en audit des transports</w:t>
            </w:r>
          </w:p>
        </w:tc>
        <w:tc>
          <w:tcPr>
            <w:tcW w:w="1076" w:type="dxa"/>
            <w:shd w:val="clear" w:color="auto" w:fill="auto"/>
            <w:textDirection w:val="btLr"/>
            <w:vAlign w:val="center"/>
          </w:tcPr>
          <w:p w:rsidR="00E44E93" w:rsidRPr="00AF6173" w:rsidRDefault="00E44E93"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DD9C3" w:themeFill="background2" w:themeFillShade="E6"/>
            <w:vAlign w:val="center"/>
          </w:tcPr>
          <w:p w:rsidR="00E44E93" w:rsidRPr="000774E7" w:rsidRDefault="00E44E93" w:rsidP="004C6E7E">
            <w:pPr>
              <w:jc w:val="center"/>
              <w:rPr>
                <w:color w:val="auto"/>
              </w:rPr>
            </w:pPr>
            <w:r w:rsidRPr="000774E7">
              <w:rPr>
                <w:rFonts w:ascii="Arial" w:hAnsi="Arial" w:cs="Arial"/>
                <w:color w:val="auto"/>
              </w:rPr>
              <w:t>E</w:t>
            </w:r>
          </w:p>
        </w:tc>
        <w:tc>
          <w:tcPr>
            <w:tcW w:w="4678" w:type="dxa"/>
            <w:shd w:val="clear" w:color="auto" w:fill="DDD9C3" w:themeFill="background2" w:themeFillShade="E6"/>
            <w:vAlign w:val="center"/>
          </w:tcPr>
          <w:p w:rsidR="00E44E93" w:rsidRPr="00CE7F8F" w:rsidRDefault="00E44E93" w:rsidP="003A202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E7F8F">
              <w:rPr>
                <w:rFonts w:ascii="Arial" w:hAnsi="Arial" w:cs="Arial"/>
                <w:sz w:val="18"/>
                <w:szCs w:val="18"/>
              </w:rPr>
              <w:t>Aucun programme de contrôle thermique, régulier et formalisé</w:t>
            </w:r>
            <w:r>
              <w:rPr>
                <w:rFonts w:ascii="Arial" w:hAnsi="Arial" w:cs="Arial"/>
                <w:sz w:val="18"/>
                <w:szCs w:val="18"/>
              </w:rPr>
              <w:t>,</w:t>
            </w:r>
            <w:r w:rsidRPr="00CE7F8F">
              <w:rPr>
                <w:rFonts w:ascii="Arial" w:hAnsi="Arial" w:cs="Arial"/>
                <w:sz w:val="18"/>
                <w:szCs w:val="18"/>
              </w:rPr>
              <w:t xml:space="preserve"> des températures du transport n’est disponible au niveau du dépôt </w:t>
            </w:r>
            <w:r w:rsidRPr="00CE7F8F">
              <w:rPr>
                <w:rFonts w:ascii="Arial" w:hAnsi="Arial" w:cs="Arial"/>
                <w:bCs/>
                <w:sz w:val="18"/>
                <w:szCs w:val="18"/>
              </w:rPr>
              <w:t xml:space="preserve">en opposition à la </w:t>
            </w:r>
            <w:r>
              <w:rPr>
                <w:rFonts w:ascii="Arial" w:hAnsi="Arial" w:cs="Arial"/>
                <w:sz w:val="18"/>
                <w:szCs w:val="18"/>
              </w:rPr>
              <w:t>décision</w:t>
            </w:r>
            <w:r w:rsidRPr="00CE7F8F">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5D6C69" w:rsidRDefault="00E44E93" w:rsidP="005D6C69">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5D6C69">
              <w:rPr>
                <w:rFonts w:ascii="Arial" w:hAnsi="Arial" w:cs="Arial"/>
                <w:sz w:val="18"/>
                <w:szCs w:val="18"/>
              </w:rPr>
              <w:t>Demander</w:t>
            </w:r>
            <w:proofErr w:type="gramEnd"/>
            <w:r w:rsidRPr="005D6C69">
              <w:rPr>
                <w:rFonts w:ascii="Arial" w:hAnsi="Arial" w:cs="Arial"/>
                <w:sz w:val="18"/>
                <w:szCs w:val="18"/>
              </w:rPr>
              <w:t xml:space="preserve"> à EFS un document ou un mail dans lequel il atteste qu’en cas de contrôle anormal sur les enregistreurs associés aux CG (</w:t>
            </w:r>
            <w:r>
              <w:rPr>
                <w:rFonts w:ascii="Arial" w:hAnsi="Arial" w:cs="Arial"/>
                <w:sz w:val="18"/>
                <w:szCs w:val="18"/>
              </w:rPr>
              <w:t>thermo-</w:t>
            </w:r>
            <w:r w:rsidRPr="005D6C69">
              <w:rPr>
                <w:rFonts w:ascii="Arial" w:hAnsi="Arial" w:cs="Arial"/>
                <w:sz w:val="18"/>
                <w:szCs w:val="18"/>
              </w:rPr>
              <w:t>traceurs), le dépôt sera prévenu et recevra les tracés.</w:t>
            </w:r>
          </w:p>
          <w:p w:rsidR="00E44E93" w:rsidRPr="00D32478" w:rsidRDefault="00E44E93" w:rsidP="00CE7F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 cette manière on peut considérer qu’en absence d’information, tout se passe bien. Le programme de contrôle de la température des transports est donc constitué de tous les retours de PSL</w:t>
            </w:r>
          </w:p>
        </w:tc>
        <w:tc>
          <w:tcPr>
            <w:tcW w:w="1076" w:type="dxa"/>
            <w:shd w:val="clear" w:color="auto" w:fill="DDD9C3" w:themeFill="background2" w:themeFillShade="E6"/>
            <w:textDirection w:val="btLr"/>
            <w:vAlign w:val="center"/>
          </w:tcPr>
          <w:p w:rsidR="00E44E93" w:rsidRPr="00AF617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DD5F1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44E93" w:rsidRPr="003C29B2" w:rsidRDefault="00E44E93" w:rsidP="003A20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6047">
              <w:rPr>
                <w:rFonts w:ascii="Arial" w:hAnsi="Arial" w:cs="Arial"/>
                <w:sz w:val="18"/>
                <w:szCs w:val="18"/>
              </w:rPr>
              <w:t xml:space="preserve">Le contrôle de conformité du transport ne fait pas l’objet d’une traçabilité </w:t>
            </w:r>
            <w:r w:rsidRPr="001F6047">
              <w:rPr>
                <w:rFonts w:ascii="Arial" w:hAnsi="Arial" w:cs="Arial"/>
                <w:bCs/>
                <w:sz w:val="18"/>
                <w:szCs w:val="18"/>
              </w:rPr>
              <w:t xml:space="preserve">en opposition à la </w:t>
            </w:r>
            <w:r>
              <w:rPr>
                <w:rFonts w:ascii="Arial" w:hAnsi="Arial" w:cs="Arial"/>
                <w:sz w:val="18"/>
                <w:szCs w:val="18"/>
              </w:rPr>
              <w:t>décision</w:t>
            </w:r>
            <w:r w:rsidRPr="001F6047">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44E93" w:rsidRPr="009357C6" w:rsidRDefault="00E44E93" w:rsidP="00DD5F1E">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Etablir un outil de recueil du bon ou du mauvais déroulement du transport concernant le délai, le conditionnement, </w:t>
            </w:r>
            <w:r>
              <w:rPr>
                <w:rFonts w:ascii="Arial" w:hAnsi="Arial" w:cs="Arial"/>
                <w:sz w:val="18"/>
                <w:szCs w:val="18"/>
              </w:rPr>
              <w:t xml:space="preserve">l’hygiène </w:t>
            </w:r>
            <w:r w:rsidRPr="009357C6">
              <w:rPr>
                <w:rFonts w:ascii="Arial" w:hAnsi="Arial" w:cs="Arial"/>
                <w:sz w:val="18"/>
                <w:szCs w:val="18"/>
              </w:rPr>
              <w:t>…</w:t>
            </w:r>
          </w:p>
          <w:p w:rsidR="00E44E93" w:rsidRPr="009357C6" w:rsidRDefault="00E44E93" w:rsidP="00DD5F1E">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357C6">
              <w:rPr>
                <w:rFonts w:ascii="Arial" w:hAnsi="Arial" w:cs="Arial"/>
                <w:sz w:val="18"/>
                <w:szCs w:val="18"/>
              </w:rPr>
              <w:t>Ce recueil est enregistré et signé</w:t>
            </w:r>
          </w:p>
        </w:tc>
        <w:tc>
          <w:tcPr>
            <w:tcW w:w="1076" w:type="dxa"/>
            <w:shd w:val="clear" w:color="auto" w:fill="auto"/>
            <w:textDirection w:val="btLr"/>
            <w:vAlign w:val="center"/>
          </w:tcPr>
          <w:p w:rsidR="00E44E93" w:rsidRPr="00AF6173" w:rsidRDefault="00E44E93"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DD9C3" w:themeFill="background2" w:themeFillShade="E6"/>
            <w:vAlign w:val="center"/>
          </w:tcPr>
          <w:p w:rsidR="00E44E93" w:rsidRPr="000774E7" w:rsidRDefault="00E44E93" w:rsidP="00DD5F1E">
            <w:pPr>
              <w:jc w:val="center"/>
              <w:rPr>
                <w:rFonts w:ascii="Arial" w:hAnsi="Arial" w:cs="Arial"/>
              </w:rPr>
            </w:pPr>
            <w:r w:rsidRPr="00D50AD1">
              <w:rPr>
                <w:rFonts w:ascii="Arial" w:hAnsi="Arial" w:cs="Arial"/>
                <w:color w:val="auto"/>
              </w:rPr>
              <w:lastRenderedPageBreak/>
              <w:t>E</w:t>
            </w:r>
          </w:p>
        </w:tc>
        <w:tc>
          <w:tcPr>
            <w:tcW w:w="4678" w:type="dxa"/>
            <w:shd w:val="clear" w:color="auto" w:fill="DDD9C3" w:themeFill="background2" w:themeFillShade="E6"/>
            <w:vAlign w:val="center"/>
          </w:tcPr>
          <w:p w:rsidR="00E44E93" w:rsidRPr="00D50AD1" w:rsidRDefault="00E44E93" w:rsidP="00D50A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0AD1">
              <w:rPr>
                <w:rFonts w:ascii="Arial" w:hAnsi="Arial" w:cs="Arial"/>
                <w:sz w:val="18"/>
                <w:szCs w:val="18"/>
              </w:rPr>
              <w:t>La procédure de contrôle des PSL à réception doit préciser la vérification des modalités d’emballage en conformité avec la Décision du 10 Juillet 2018 définissant les principes de bonnes pratiques prévus à l’article L.1222.12 du code de santé publique</w:t>
            </w:r>
          </w:p>
        </w:tc>
        <w:tc>
          <w:tcPr>
            <w:tcW w:w="4394" w:type="dxa"/>
            <w:shd w:val="clear" w:color="auto" w:fill="DDD9C3" w:themeFill="background2" w:themeFillShade="E6"/>
            <w:vAlign w:val="center"/>
          </w:tcPr>
          <w:p w:rsidR="00E44E93" w:rsidRPr="009357C6" w:rsidRDefault="00E44E93" w:rsidP="00DD5F1E">
            <w:pPr>
              <w:pStyle w:val="Paragraphedeliste"/>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Compléter la procédure de contrôle à réception des transports.</w:t>
            </w:r>
          </w:p>
        </w:tc>
        <w:tc>
          <w:tcPr>
            <w:tcW w:w="1076" w:type="dxa"/>
            <w:shd w:val="clear" w:color="auto" w:fill="DDD9C3" w:themeFill="background2" w:themeFillShade="E6"/>
            <w:textDirection w:val="btLr"/>
            <w:vAlign w:val="center"/>
          </w:tcPr>
          <w:p w:rsidR="00E44E93" w:rsidRDefault="00E44E93"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auto"/>
            <w:vAlign w:val="center"/>
          </w:tcPr>
          <w:p w:rsidR="00E44E93" w:rsidRDefault="00E44E93"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Le dépôt ne dispose pa</w:t>
            </w:r>
            <w:r>
              <w:rPr>
                <w:rFonts w:ascii="Arial" w:hAnsi="Arial" w:cs="Arial"/>
                <w:sz w:val="18"/>
                <w:szCs w:val="18"/>
              </w:rPr>
              <w:t>s de conduite à tenir écrite en</w:t>
            </w:r>
          </w:p>
          <w:p w:rsidR="00E44E93" w:rsidRPr="00E843D5" w:rsidRDefault="00E44E93"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E843D5">
              <w:rPr>
                <w:rFonts w:ascii="Arial" w:hAnsi="Arial" w:cs="Arial"/>
                <w:sz w:val="18"/>
                <w:szCs w:val="18"/>
              </w:rPr>
              <w:t>cas d’indisponibilité de son prestataire de transport</w:t>
            </w:r>
          </w:p>
        </w:tc>
        <w:tc>
          <w:tcPr>
            <w:tcW w:w="4394" w:type="dxa"/>
            <w:shd w:val="clear" w:color="auto" w:fill="auto"/>
            <w:vAlign w:val="center"/>
          </w:tcPr>
          <w:p w:rsidR="00E44E93" w:rsidRPr="00E843D5" w:rsidRDefault="00E44E93"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 xml:space="preserve">Prévoir la situation </w:t>
            </w:r>
            <w:r>
              <w:rPr>
                <w:rFonts w:ascii="Arial" w:hAnsi="Arial" w:cs="Arial"/>
                <w:sz w:val="18"/>
                <w:szCs w:val="18"/>
              </w:rPr>
              <w:t>et rédiger une procédure ou un chapitre dans la procédure de transport pour savoir comment agir le cas échéant.</w:t>
            </w:r>
          </w:p>
          <w:p w:rsidR="00E44E93" w:rsidRPr="00E843D5" w:rsidRDefault="00E44E93"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 xml:space="preserve">Envisager un recours à une solution locale </w:t>
            </w:r>
          </w:p>
          <w:p w:rsidR="00E44E93" w:rsidRPr="00E843D5" w:rsidRDefault="00E44E93"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Un taxi</w:t>
            </w:r>
          </w:p>
        </w:tc>
        <w:tc>
          <w:tcPr>
            <w:tcW w:w="1076" w:type="dxa"/>
            <w:shd w:val="clear" w:color="auto" w:fill="auto"/>
            <w:textDirection w:val="btLr"/>
            <w:vAlign w:val="center"/>
          </w:tcPr>
          <w:p w:rsidR="00E44E93" w:rsidRPr="00AF6173" w:rsidRDefault="00E44E93"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shd w:val="clear" w:color="auto" w:fill="DDD9C3" w:themeFill="background2" w:themeFillShade="E6"/>
            <w:vAlign w:val="center"/>
          </w:tcPr>
          <w:p w:rsidR="00E44E93" w:rsidRPr="000774E7" w:rsidRDefault="00E44E93" w:rsidP="004C6E7E">
            <w:pPr>
              <w:jc w:val="center"/>
              <w:rPr>
                <w:rFonts w:ascii="Arial" w:hAnsi="Arial" w:cs="Arial"/>
              </w:rPr>
            </w:pPr>
            <w:r w:rsidRPr="00382162">
              <w:rPr>
                <w:rFonts w:ascii="Arial" w:hAnsi="Arial" w:cs="Arial"/>
                <w:color w:val="auto"/>
              </w:rPr>
              <w:t>R</w:t>
            </w:r>
          </w:p>
        </w:tc>
        <w:tc>
          <w:tcPr>
            <w:tcW w:w="4678" w:type="dxa"/>
            <w:shd w:val="clear" w:color="auto" w:fill="DDD9C3" w:themeFill="background2" w:themeFillShade="E6"/>
            <w:vAlign w:val="center"/>
          </w:tcPr>
          <w:p w:rsidR="00E44E93" w:rsidRPr="005406DF" w:rsidRDefault="00E44E93" w:rsidP="00761DB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opérations de nettoyage désinfection du matériel de transport ne sont pas enregistrées</w:t>
            </w:r>
          </w:p>
        </w:tc>
        <w:tc>
          <w:tcPr>
            <w:tcW w:w="4394" w:type="dxa"/>
            <w:shd w:val="clear" w:color="auto" w:fill="DDD9C3" w:themeFill="background2" w:themeFillShade="E6"/>
            <w:vAlign w:val="center"/>
          </w:tcPr>
          <w:p w:rsidR="00E44E93" w:rsidRDefault="00E44E93"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boites nécessaires au transport des produits sanguins du dépôt vers l’EFS doivent être nettoyées sous la responsabilité du dépôt et ces opérations doivent être enregistrées.</w:t>
            </w:r>
          </w:p>
          <w:p w:rsidR="00E44E93" w:rsidRPr="00382162" w:rsidRDefault="00E44E93" w:rsidP="00382162">
            <w:pPr>
              <w:pStyle w:val="Paragraphedeliste"/>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82162">
              <w:rPr>
                <w:rFonts w:ascii="Arial" w:hAnsi="Arial" w:cs="Arial"/>
                <w:sz w:val="18"/>
                <w:szCs w:val="18"/>
              </w:rPr>
              <w:t>Etablir un relevé</w:t>
            </w:r>
          </w:p>
        </w:tc>
        <w:tc>
          <w:tcPr>
            <w:tcW w:w="1076" w:type="dxa"/>
            <w:shd w:val="clear" w:color="auto" w:fill="DDD9C3" w:themeFill="background2" w:themeFillShade="E6"/>
            <w:textDirection w:val="btLr"/>
            <w:vAlign w:val="center"/>
          </w:tcPr>
          <w:p w:rsidR="00E44E93" w:rsidRDefault="00E44E93"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44E93" w:rsidTr="00D50AD1">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44E93" w:rsidRPr="000774E7" w:rsidRDefault="00E44E93" w:rsidP="004C6E7E">
            <w:pPr>
              <w:jc w:val="center"/>
              <w:rPr>
                <w:color w:val="auto"/>
              </w:rPr>
            </w:pPr>
            <w:r w:rsidRPr="000774E7">
              <w:rPr>
                <w:rFonts w:ascii="Arial" w:hAnsi="Arial" w:cs="Arial"/>
                <w:color w:val="auto"/>
              </w:rPr>
              <w:t>R</w:t>
            </w:r>
          </w:p>
        </w:tc>
        <w:tc>
          <w:tcPr>
            <w:tcW w:w="4678" w:type="dxa"/>
            <w:shd w:val="clear" w:color="auto" w:fill="auto"/>
            <w:vAlign w:val="center"/>
          </w:tcPr>
          <w:p w:rsidR="00E44E93" w:rsidRPr="005406DF" w:rsidRDefault="00E44E93" w:rsidP="00761DB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6DF">
              <w:rPr>
                <w:rFonts w:ascii="Arial" w:hAnsi="Arial" w:cs="Arial"/>
                <w:sz w:val="18"/>
                <w:szCs w:val="18"/>
              </w:rPr>
              <w:t>Le dépôt utilise le protocole de conditionnement des produits sanguins pour le transport, établi et validé par EFS, mais ce</w:t>
            </w:r>
            <w:r>
              <w:rPr>
                <w:rFonts w:ascii="Arial" w:hAnsi="Arial" w:cs="Arial"/>
                <w:sz w:val="18"/>
                <w:szCs w:val="18"/>
              </w:rPr>
              <w:t xml:space="preserve"> protocole n’est pas disponible</w:t>
            </w:r>
            <w:r w:rsidRPr="005406DF">
              <w:rPr>
                <w:rFonts w:ascii="Arial" w:hAnsi="Arial" w:cs="Arial"/>
                <w:sz w:val="18"/>
                <w:szCs w:val="18"/>
              </w:rPr>
              <w:t>.</w:t>
            </w:r>
          </w:p>
        </w:tc>
        <w:tc>
          <w:tcPr>
            <w:tcW w:w="4394" w:type="dxa"/>
            <w:shd w:val="clear" w:color="auto" w:fill="auto"/>
            <w:vAlign w:val="center"/>
          </w:tcPr>
          <w:p w:rsidR="00E44E93" w:rsidRPr="005406DF" w:rsidRDefault="00E44E93"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6DF">
              <w:rPr>
                <w:rFonts w:ascii="Arial" w:hAnsi="Arial" w:cs="Arial"/>
                <w:sz w:val="18"/>
                <w:szCs w:val="18"/>
              </w:rPr>
              <w:t>Révision de la documentation régulière de manière à ce que les données soient bien disponibles</w:t>
            </w:r>
          </w:p>
        </w:tc>
        <w:tc>
          <w:tcPr>
            <w:tcW w:w="1076" w:type="dxa"/>
            <w:shd w:val="clear" w:color="auto" w:fill="auto"/>
            <w:textDirection w:val="btLr"/>
            <w:vAlign w:val="center"/>
          </w:tcPr>
          <w:p w:rsidR="00E44E93" w:rsidRPr="005406DF" w:rsidRDefault="00E44E93"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bl>
    <w:p w:rsidR="004464E9" w:rsidRDefault="004464E9">
      <w:pPr>
        <w:rPr>
          <w:rFonts w:asciiTheme="minorHAnsi" w:hAnsiTheme="minorHAnsi" w:cs="Arial"/>
          <w:b/>
          <w:i/>
          <w:sz w:val="16"/>
          <w:szCs w:val="16"/>
        </w:rPr>
      </w:pPr>
    </w:p>
    <w:sectPr w:rsidR="004464E9" w:rsidSect="00850E5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94" w:rsidRDefault="007B4094" w:rsidP="0019771D">
      <w:pPr>
        <w:spacing w:line="240" w:lineRule="auto"/>
      </w:pPr>
      <w:r>
        <w:separator/>
      </w:r>
    </w:p>
  </w:endnote>
  <w:endnote w:type="continuationSeparator" w:id="0">
    <w:p w:rsidR="007B4094" w:rsidRDefault="007B4094" w:rsidP="0019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96681"/>
      <w:docPartObj>
        <w:docPartGallery w:val="Page Numbers (Bottom of Page)"/>
        <w:docPartUnique/>
      </w:docPartObj>
    </w:sdtPr>
    <w:sdtEndPr/>
    <w:sdtContent>
      <w:p w:rsidR="00B9474B" w:rsidRDefault="00B9474B" w:rsidP="001047DA">
        <w:pPr>
          <w:pStyle w:val="Pieddepage"/>
          <w:pBdr>
            <w:top w:val="single" w:sz="4" w:space="1" w:color="auto"/>
          </w:pBdr>
          <w:jc w:val="center"/>
        </w:pPr>
        <w:r>
          <w:fldChar w:fldCharType="begin"/>
        </w:r>
        <w:r>
          <w:instrText>PAGE   \* MERGEFORMAT</w:instrText>
        </w:r>
        <w:r>
          <w:fldChar w:fldCharType="separate"/>
        </w:r>
        <w:r w:rsidR="00E44E93">
          <w:rPr>
            <w:noProof/>
          </w:rPr>
          <w:t>2</w:t>
        </w:r>
        <w:r>
          <w:fldChar w:fldCharType="end"/>
        </w:r>
      </w:p>
    </w:sdtContent>
  </w:sdt>
  <w:p w:rsidR="0019771D" w:rsidRDefault="00197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94" w:rsidRDefault="007B4094" w:rsidP="0019771D">
      <w:pPr>
        <w:spacing w:line="240" w:lineRule="auto"/>
      </w:pPr>
      <w:r>
        <w:separator/>
      </w:r>
    </w:p>
  </w:footnote>
  <w:footnote w:type="continuationSeparator" w:id="0">
    <w:p w:rsidR="007B4094" w:rsidRDefault="007B4094" w:rsidP="00197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9C9"/>
    <w:multiLevelType w:val="hybridMultilevel"/>
    <w:tmpl w:val="83F00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4A0D5A"/>
    <w:multiLevelType w:val="hybridMultilevel"/>
    <w:tmpl w:val="ED44F4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2F4247"/>
    <w:multiLevelType w:val="hybridMultilevel"/>
    <w:tmpl w:val="AEAA6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4C0DB1"/>
    <w:multiLevelType w:val="hybridMultilevel"/>
    <w:tmpl w:val="B1B63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9A198B"/>
    <w:multiLevelType w:val="hybridMultilevel"/>
    <w:tmpl w:val="8B1C16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0C20214"/>
    <w:multiLevelType w:val="hybridMultilevel"/>
    <w:tmpl w:val="DC02E1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16212DA"/>
    <w:multiLevelType w:val="hybridMultilevel"/>
    <w:tmpl w:val="EDB85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1D712E5"/>
    <w:multiLevelType w:val="hybridMultilevel"/>
    <w:tmpl w:val="26DC4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41E6FE8"/>
    <w:multiLevelType w:val="hybridMultilevel"/>
    <w:tmpl w:val="D2D28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BE546B1"/>
    <w:multiLevelType w:val="hybridMultilevel"/>
    <w:tmpl w:val="8006F5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E961552"/>
    <w:multiLevelType w:val="hybridMultilevel"/>
    <w:tmpl w:val="3668B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DD2120"/>
    <w:multiLevelType w:val="hybridMultilevel"/>
    <w:tmpl w:val="EAF2FF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1C241C1"/>
    <w:multiLevelType w:val="hybridMultilevel"/>
    <w:tmpl w:val="814C9D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4A45BAF"/>
    <w:multiLevelType w:val="hybridMultilevel"/>
    <w:tmpl w:val="3B767D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A9B28B4"/>
    <w:multiLevelType w:val="hybridMultilevel"/>
    <w:tmpl w:val="82047C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3A786F"/>
    <w:multiLevelType w:val="hybridMultilevel"/>
    <w:tmpl w:val="3B0EE4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54F4C5C"/>
    <w:multiLevelType w:val="hybridMultilevel"/>
    <w:tmpl w:val="777088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69B13DF"/>
    <w:multiLevelType w:val="hybridMultilevel"/>
    <w:tmpl w:val="FBCC7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8F263FC"/>
    <w:multiLevelType w:val="hybridMultilevel"/>
    <w:tmpl w:val="F1B0B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F0C5F02"/>
    <w:multiLevelType w:val="hybridMultilevel"/>
    <w:tmpl w:val="529CB3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2BF47D8"/>
    <w:multiLevelType w:val="hybridMultilevel"/>
    <w:tmpl w:val="C7A480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2DB1E71"/>
    <w:multiLevelType w:val="hybridMultilevel"/>
    <w:tmpl w:val="2410C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17"/>
  </w:num>
  <w:num w:numId="5">
    <w:abstractNumId w:val="18"/>
  </w:num>
  <w:num w:numId="6">
    <w:abstractNumId w:val="12"/>
  </w:num>
  <w:num w:numId="7">
    <w:abstractNumId w:val="8"/>
  </w:num>
  <w:num w:numId="8">
    <w:abstractNumId w:val="16"/>
  </w:num>
  <w:num w:numId="9">
    <w:abstractNumId w:val="7"/>
  </w:num>
  <w:num w:numId="10">
    <w:abstractNumId w:val="15"/>
  </w:num>
  <w:num w:numId="11">
    <w:abstractNumId w:val="19"/>
  </w:num>
  <w:num w:numId="12">
    <w:abstractNumId w:val="20"/>
  </w:num>
  <w:num w:numId="13">
    <w:abstractNumId w:val="13"/>
  </w:num>
  <w:num w:numId="14">
    <w:abstractNumId w:val="3"/>
  </w:num>
  <w:num w:numId="15">
    <w:abstractNumId w:val="5"/>
  </w:num>
  <w:num w:numId="16">
    <w:abstractNumId w:val="6"/>
  </w:num>
  <w:num w:numId="17">
    <w:abstractNumId w:val="21"/>
  </w:num>
  <w:num w:numId="18">
    <w:abstractNumId w:val="1"/>
  </w:num>
  <w:num w:numId="19">
    <w:abstractNumId w:val="14"/>
  </w:num>
  <w:num w:numId="20">
    <w:abstractNumId w:val="2"/>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D3"/>
    <w:rsid w:val="0001133C"/>
    <w:rsid w:val="00013D2C"/>
    <w:rsid w:val="00021124"/>
    <w:rsid w:val="000332B7"/>
    <w:rsid w:val="00050A0F"/>
    <w:rsid w:val="000774E7"/>
    <w:rsid w:val="00086722"/>
    <w:rsid w:val="000A63C3"/>
    <w:rsid w:val="000B141B"/>
    <w:rsid w:val="000B363E"/>
    <w:rsid w:val="000B61D5"/>
    <w:rsid w:val="000C0C99"/>
    <w:rsid w:val="000C1D1D"/>
    <w:rsid w:val="000C3159"/>
    <w:rsid w:val="000E131D"/>
    <w:rsid w:val="001047DA"/>
    <w:rsid w:val="001646FB"/>
    <w:rsid w:val="0019771D"/>
    <w:rsid w:val="001B004C"/>
    <w:rsid w:val="001F2B19"/>
    <w:rsid w:val="001F6047"/>
    <w:rsid w:val="002245DC"/>
    <w:rsid w:val="00281095"/>
    <w:rsid w:val="00297DE6"/>
    <w:rsid w:val="002C48D0"/>
    <w:rsid w:val="002F00C9"/>
    <w:rsid w:val="002F3FE5"/>
    <w:rsid w:val="0030448A"/>
    <w:rsid w:val="003123D4"/>
    <w:rsid w:val="00342189"/>
    <w:rsid w:val="00360A79"/>
    <w:rsid w:val="00382162"/>
    <w:rsid w:val="00383D01"/>
    <w:rsid w:val="003A202B"/>
    <w:rsid w:val="003C29B2"/>
    <w:rsid w:val="003D0A16"/>
    <w:rsid w:val="003E48F7"/>
    <w:rsid w:val="0042561A"/>
    <w:rsid w:val="004464E9"/>
    <w:rsid w:val="00481072"/>
    <w:rsid w:val="004C1510"/>
    <w:rsid w:val="004C5143"/>
    <w:rsid w:val="004C6E7E"/>
    <w:rsid w:val="00500907"/>
    <w:rsid w:val="005406DF"/>
    <w:rsid w:val="00580762"/>
    <w:rsid w:val="005B140C"/>
    <w:rsid w:val="005B56AA"/>
    <w:rsid w:val="005D0089"/>
    <w:rsid w:val="005D6C69"/>
    <w:rsid w:val="00697AAB"/>
    <w:rsid w:val="006E529A"/>
    <w:rsid w:val="006E7296"/>
    <w:rsid w:val="006F1937"/>
    <w:rsid w:val="007018EE"/>
    <w:rsid w:val="00724157"/>
    <w:rsid w:val="007318C4"/>
    <w:rsid w:val="00761DB2"/>
    <w:rsid w:val="007746E7"/>
    <w:rsid w:val="00781255"/>
    <w:rsid w:val="007819DE"/>
    <w:rsid w:val="00784C33"/>
    <w:rsid w:val="007B4094"/>
    <w:rsid w:val="007B7149"/>
    <w:rsid w:val="00805966"/>
    <w:rsid w:val="00811BD7"/>
    <w:rsid w:val="0084232F"/>
    <w:rsid w:val="00850E59"/>
    <w:rsid w:val="00855AFC"/>
    <w:rsid w:val="00866F57"/>
    <w:rsid w:val="00872FA6"/>
    <w:rsid w:val="008A2FD3"/>
    <w:rsid w:val="008F1A04"/>
    <w:rsid w:val="008F4C4F"/>
    <w:rsid w:val="00900BDF"/>
    <w:rsid w:val="00920BF4"/>
    <w:rsid w:val="00921806"/>
    <w:rsid w:val="009357C6"/>
    <w:rsid w:val="009516CE"/>
    <w:rsid w:val="009675A5"/>
    <w:rsid w:val="009910BC"/>
    <w:rsid w:val="009C595D"/>
    <w:rsid w:val="009C7F57"/>
    <w:rsid w:val="009F4C9A"/>
    <w:rsid w:val="00A02CF4"/>
    <w:rsid w:val="00A24FBD"/>
    <w:rsid w:val="00A46EC0"/>
    <w:rsid w:val="00A56609"/>
    <w:rsid w:val="00A9154D"/>
    <w:rsid w:val="00AB75A5"/>
    <w:rsid w:val="00AF6173"/>
    <w:rsid w:val="00B02EF0"/>
    <w:rsid w:val="00B06977"/>
    <w:rsid w:val="00B077E3"/>
    <w:rsid w:val="00B24533"/>
    <w:rsid w:val="00B32A2C"/>
    <w:rsid w:val="00B47519"/>
    <w:rsid w:val="00B537A6"/>
    <w:rsid w:val="00B63D4E"/>
    <w:rsid w:val="00B74305"/>
    <w:rsid w:val="00B81E78"/>
    <w:rsid w:val="00B9474B"/>
    <w:rsid w:val="00BA34A9"/>
    <w:rsid w:val="00BC015D"/>
    <w:rsid w:val="00BC6836"/>
    <w:rsid w:val="00BD0AEE"/>
    <w:rsid w:val="00BF2D0C"/>
    <w:rsid w:val="00C1462A"/>
    <w:rsid w:val="00C54F2E"/>
    <w:rsid w:val="00C76B7E"/>
    <w:rsid w:val="00CA28A4"/>
    <w:rsid w:val="00CC6EFC"/>
    <w:rsid w:val="00CE7F8F"/>
    <w:rsid w:val="00D140E6"/>
    <w:rsid w:val="00D141F7"/>
    <w:rsid w:val="00D32478"/>
    <w:rsid w:val="00D50AD1"/>
    <w:rsid w:val="00D602E4"/>
    <w:rsid w:val="00D62F64"/>
    <w:rsid w:val="00DC62AC"/>
    <w:rsid w:val="00E04C1D"/>
    <w:rsid w:val="00E44E93"/>
    <w:rsid w:val="00E843D5"/>
    <w:rsid w:val="00EB168F"/>
    <w:rsid w:val="00EB7CCB"/>
    <w:rsid w:val="00EE33E9"/>
    <w:rsid w:val="00F1168C"/>
    <w:rsid w:val="00F24C87"/>
    <w:rsid w:val="00F476DE"/>
    <w:rsid w:val="00F6451B"/>
    <w:rsid w:val="00FB560E"/>
    <w:rsid w:val="00FF4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8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8F7"/>
    <w:rPr>
      <w:rFonts w:ascii="Tahoma" w:hAnsi="Tahoma" w:cs="Tahoma"/>
      <w:sz w:val="16"/>
      <w:szCs w:val="16"/>
    </w:rPr>
  </w:style>
  <w:style w:type="paragraph" w:styleId="Paragraphedeliste">
    <w:name w:val="List Paragraph"/>
    <w:basedOn w:val="Normal"/>
    <w:uiPriority w:val="34"/>
    <w:qFormat/>
    <w:rsid w:val="00DC62AC"/>
    <w:pPr>
      <w:ind w:left="720"/>
      <w:contextualSpacing/>
    </w:pPr>
  </w:style>
  <w:style w:type="table" w:styleId="Grilledutableau">
    <w:name w:val="Table Grid"/>
    <w:basedOn w:val="TableauNormal"/>
    <w:uiPriority w:val="59"/>
    <w:rsid w:val="00DC62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DC62AC"/>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1">
    <w:name w:val="Light Shading Accent 1"/>
    <w:basedOn w:val="TableauNormal"/>
    <w:uiPriority w:val="60"/>
    <w:rsid w:val="00DC62A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DC62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28109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menufittitre">
    <w:name w:val="menufittitre"/>
    <w:basedOn w:val="Policepardfaut"/>
    <w:rsid w:val="003C29B2"/>
  </w:style>
  <w:style w:type="character" w:styleId="lev">
    <w:name w:val="Strong"/>
    <w:basedOn w:val="Policepardfaut"/>
    <w:uiPriority w:val="22"/>
    <w:qFormat/>
    <w:rsid w:val="003C29B2"/>
    <w:rPr>
      <w:b/>
      <w:bCs/>
    </w:rPr>
  </w:style>
  <w:style w:type="table" w:styleId="Tramemoyenne2-Accent6">
    <w:name w:val="Medium Shading 2 Accent 6"/>
    <w:basedOn w:val="TableauNormal"/>
    <w:uiPriority w:val="64"/>
    <w:rsid w:val="004C6E7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19771D"/>
    <w:pPr>
      <w:tabs>
        <w:tab w:val="center" w:pos="4536"/>
        <w:tab w:val="right" w:pos="9072"/>
      </w:tabs>
      <w:spacing w:line="240" w:lineRule="auto"/>
    </w:pPr>
  </w:style>
  <w:style w:type="character" w:customStyle="1" w:styleId="En-tteCar">
    <w:name w:val="En-tête Car"/>
    <w:basedOn w:val="Policepardfaut"/>
    <w:link w:val="En-tte"/>
    <w:uiPriority w:val="99"/>
    <w:rsid w:val="0019771D"/>
  </w:style>
  <w:style w:type="paragraph" w:styleId="Pieddepage">
    <w:name w:val="footer"/>
    <w:basedOn w:val="Normal"/>
    <w:link w:val="PieddepageCar"/>
    <w:uiPriority w:val="99"/>
    <w:unhideWhenUsed/>
    <w:rsid w:val="0019771D"/>
    <w:pPr>
      <w:tabs>
        <w:tab w:val="center" w:pos="4536"/>
        <w:tab w:val="right" w:pos="9072"/>
      </w:tabs>
      <w:spacing w:line="240" w:lineRule="auto"/>
    </w:pPr>
  </w:style>
  <w:style w:type="character" w:customStyle="1" w:styleId="PieddepageCar">
    <w:name w:val="Pied de page Car"/>
    <w:basedOn w:val="Policepardfaut"/>
    <w:link w:val="Pieddepage"/>
    <w:uiPriority w:val="99"/>
    <w:rsid w:val="0019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8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8F7"/>
    <w:rPr>
      <w:rFonts w:ascii="Tahoma" w:hAnsi="Tahoma" w:cs="Tahoma"/>
      <w:sz w:val="16"/>
      <w:szCs w:val="16"/>
    </w:rPr>
  </w:style>
  <w:style w:type="paragraph" w:styleId="Paragraphedeliste">
    <w:name w:val="List Paragraph"/>
    <w:basedOn w:val="Normal"/>
    <w:uiPriority w:val="34"/>
    <w:qFormat/>
    <w:rsid w:val="00DC62AC"/>
    <w:pPr>
      <w:ind w:left="720"/>
      <w:contextualSpacing/>
    </w:pPr>
  </w:style>
  <w:style w:type="table" w:styleId="Grilledutableau">
    <w:name w:val="Table Grid"/>
    <w:basedOn w:val="TableauNormal"/>
    <w:uiPriority w:val="59"/>
    <w:rsid w:val="00DC62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DC62AC"/>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1">
    <w:name w:val="Light Shading Accent 1"/>
    <w:basedOn w:val="TableauNormal"/>
    <w:uiPriority w:val="60"/>
    <w:rsid w:val="00DC62A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DC62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28109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menufittitre">
    <w:name w:val="menufittitre"/>
    <w:basedOn w:val="Policepardfaut"/>
    <w:rsid w:val="003C29B2"/>
  </w:style>
  <w:style w:type="character" w:styleId="lev">
    <w:name w:val="Strong"/>
    <w:basedOn w:val="Policepardfaut"/>
    <w:uiPriority w:val="22"/>
    <w:qFormat/>
    <w:rsid w:val="003C29B2"/>
    <w:rPr>
      <w:b/>
      <w:bCs/>
    </w:rPr>
  </w:style>
  <w:style w:type="table" w:styleId="Tramemoyenne2-Accent6">
    <w:name w:val="Medium Shading 2 Accent 6"/>
    <w:basedOn w:val="TableauNormal"/>
    <w:uiPriority w:val="64"/>
    <w:rsid w:val="004C6E7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19771D"/>
    <w:pPr>
      <w:tabs>
        <w:tab w:val="center" w:pos="4536"/>
        <w:tab w:val="right" w:pos="9072"/>
      </w:tabs>
      <w:spacing w:line="240" w:lineRule="auto"/>
    </w:pPr>
  </w:style>
  <w:style w:type="character" w:customStyle="1" w:styleId="En-tteCar">
    <w:name w:val="En-tête Car"/>
    <w:basedOn w:val="Policepardfaut"/>
    <w:link w:val="En-tte"/>
    <w:uiPriority w:val="99"/>
    <w:rsid w:val="0019771D"/>
  </w:style>
  <w:style w:type="paragraph" w:styleId="Pieddepage">
    <w:name w:val="footer"/>
    <w:basedOn w:val="Normal"/>
    <w:link w:val="PieddepageCar"/>
    <w:uiPriority w:val="99"/>
    <w:unhideWhenUsed/>
    <w:rsid w:val="0019771D"/>
    <w:pPr>
      <w:tabs>
        <w:tab w:val="center" w:pos="4536"/>
        <w:tab w:val="right" w:pos="9072"/>
      </w:tabs>
      <w:spacing w:line="240" w:lineRule="auto"/>
    </w:pPr>
  </w:style>
  <w:style w:type="character" w:customStyle="1" w:styleId="PieddepageCar">
    <w:name w:val="Pied de page Car"/>
    <w:basedOn w:val="Policepardfaut"/>
    <w:link w:val="Pieddepage"/>
    <w:uiPriority w:val="99"/>
    <w:rsid w:val="0019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DD6B-27FA-465C-A2E7-7E044CFD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2830</Words>
  <Characters>15570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olemaire</dc:creator>
  <cp:lastModifiedBy>olemaire</cp:lastModifiedBy>
  <cp:revision>4</cp:revision>
  <dcterms:created xsi:type="dcterms:W3CDTF">2019-10-02T08:21:00Z</dcterms:created>
  <dcterms:modified xsi:type="dcterms:W3CDTF">2019-10-02T09:23:00Z</dcterms:modified>
</cp:coreProperties>
</file>